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CD" w:rsidRDefault="00AD4ECD" w:rsidP="00AD4ECD">
      <w:pPr>
        <w:autoSpaceDE w:val="0"/>
        <w:autoSpaceDN w:val="0"/>
        <w:jc w:val="center"/>
        <w:rPr>
          <w:rFonts w:ascii="Georgia" w:hAnsi="Georgia"/>
          <w:i/>
          <w:iCs/>
          <w:sz w:val="28"/>
          <w:szCs w:val="28"/>
        </w:rPr>
      </w:pPr>
      <w:bookmarkStart w:id="0" w:name="_GoBack"/>
      <w:bookmarkEnd w:id="0"/>
      <w:r>
        <w:rPr>
          <w:rFonts w:ascii="Georgia" w:hAnsi="Georgia"/>
          <w:i/>
          <w:iCs/>
          <w:sz w:val="28"/>
          <w:szCs w:val="28"/>
        </w:rPr>
        <w:t>SELECTED FAMILY/YOUTH ENGAGEMENT ACTIVITES</w:t>
      </w:r>
    </w:p>
    <w:p w:rsidR="00AD4ECD" w:rsidRDefault="00AD4ECD" w:rsidP="00FA497B">
      <w:pPr>
        <w:autoSpaceDE w:val="0"/>
        <w:autoSpaceDN w:val="0"/>
        <w:rPr>
          <w:rFonts w:ascii="Georgia" w:hAnsi="Georgia"/>
          <w:i/>
          <w:iCs/>
          <w:sz w:val="28"/>
          <w:szCs w:val="28"/>
        </w:rPr>
      </w:pPr>
    </w:p>
    <w:p w:rsidR="00FA497B" w:rsidRDefault="00FA497B" w:rsidP="00FA497B">
      <w:pPr>
        <w:autoSpaceDE w:val="0"/>
        <w:autoSpaceDN w:val="0"/>
        <w:rPr>
          <w:rFonts w:ascii="Georgia" w:hAnsi="Georgia"/>
          <w:i/>
          <w:iCs/>
          <w:sz w:val="28"/>
          <w:szCs w:val="28"/>
        </w:rPr>
      </w:pPr>
      <w:r>
        <w:rPr>
          <w:rFonts w:ascii="Georgia" w:hAnsi="Georgia"/>
          <w:i/>
          <w:iCs/>
          <w:sz w:val="28"/>
          <w:szCs w:val="28"/>
        </w:rPr>
        <w:t>I. Creating and embedding family-focused and strength-based policies and practices within each agency to institutionalize the active and meaningful involvement of family members in their youth’s care</w:t>
      </w:r>
      <w:r w:rsidR="00437725">
        <w:rPr>
          <w:rFonts w:ascii="Georgia" w:hAnsi="Georgia"/>
          <w:i/>
          <w:iCs/>
          <w:sz w:val="28"/>
          <w:szCs w:val="28"/>
        </w:rPr>
        <w:t xml:space="preserve"> </w:t>
      </w:r>
    </w:p>
    <w:p w:rsidR="00B06671" w:rsidRDefault="00B06671" w:rsidP="00FA497B">
      <w:pPr>
        <w:autoSpaceDE w:val="0"/>
        <w:autoSpaceDN w:val="0"/>
        <w:rPr>
          <w:rFonts w:ascii="Georgia" w:hAnsi="Georgia"/>
          <w:i/>
          <w:iCs/>
          <w:sz w:val="28"/>
          <w:szCs w:val="28"/>
        </w:rPr>
      </w:pPr>
    </w:p>
    <w:p w:rsidR="005861D0" w:rsidRPr="00B06671" w:rsidRDefault="00A066D9" w:rsidP="00F71B17">
      <w:pPr>
        <w:numPr>
          <w:ilvl w:val="0"/>
          <w:numId w:val="1"/>
        </w:numPr>
        <w:tabs>
          <w:tab w:val="clear" w:pos="810"/>
          <w:tab w:val="num" w:pos="720"/>
        </w:tabs>
        <w:ind w:left="720"/>
      </w:pPr>
      <w:r w:rsidRPr="00B06671">
        <w:t xml:space="preserve">OJJDP staff </w:t>
      </w:r>
      <w:r w:rsidR="00AB1B73" w:rsidRPr="00B06671">
        <w:t>work</w:t>
      </w:r>
      <w:r w:rsidRPr="00B06671">
        <w:t xml:space="preserve"> group to coordinate, infuse and track youth and family partnership activities across agency</w:t>
      </w:r>
      <w:r w:rsidR="00AB1B73" w:rsidRPr="00B06671">
        <w:t>.  Held i</w:t>
      </w:r>
      <w:r w:rsidR="005861D0" w:rsidRPr="00B06671">
        <w:t>nitia</w:t>
      </w:r>
      <w:r w:rsidR="00AB1B73" w:rsidRPr="00B06671">
        <w:t xml:space="preserve">l staff </w:t>
      </w:r>
      <w:r w:rsidR="005861D0" w:rsidRPr="00B06671">
        <w:t>training for staff</w:t>
      </w:r>
      <w:r w:rsidR="00AB1B73" w:rsidRPr="00B06671">
        <w:t xml:space="preserve"> on family and youth engagement</w:t>
      </w:r>
      <w:r w:rsidR="005861D0" w:rsidRPr="00B06671">
        <w:t>.</w:t>
      </w:r>
    </w:p>
    <w:p w:rsidR="0041458F" w:rsidRPr="00B06671" w:rsidRDefault="004808AC" w:rsidP="00F71B17">
      <w:pPr>
        <w:numPr>
          <w:ilvl w:val="0"/>
          <w:numId w:val="1"/>
        </w:numPr>
        <w:tabs>
          <w:tab w:val="clear" w:pos="810"/>
          <w:tab w:val="num" w:pos="720"/>
        </w:tabs>
        <w:ind w:left="720"/>
      </w:pPr>
      <w:r w:rsidRPr="00B06671">
        <w:t xml:space="preserve">Education issued Youth Engagement Plan for the Department in October 2011 </w:t>
      </w:r>
      <w:r w:rsidR="00AD4ECD" w:rsidRPr="00B06671">
        <w:t>to help</w:t>
      </w:r>
      <w:r w:rsidRPr="00B06671">
        <w:t xml:space="preserve"> youth graduate from high school and access higher education.</w:t>
      </w:r>
      <w:r w:rsidR="0041458F" w:rsidRPr="00B06671">
        <w:t xml:space="preserve"> </w:t>
      </w:r>
    </w:p>
    <w:p w:rsidR="00B06671" w:rsidRPr="00B06671" w:rsidRDefault="00AD4ECD" w:rsidP="00F71B17">
      <w:pPr>
        <w:numPr>
          <w:ilvl w:val="0"/>
          <w:numId w:val="1"/>
        </w:numPr>
        <w:tabs>
          <w:tab w:val="clear" w:pos="810"/>
          <w:tab w:val="num" w:pos="720"/>
        </w:tabs>
        <w:ind w:left="720"/>
      </w:pPr>
      <w:r w:rsidRPr="00B06671">
        <w:t xml:space="preserve">ED is </w:t>
      </w:r>
      <w:r w:rsidR="002D3CBC" w:rsidRPr="00B06671">
        <w:t xml:space="preserve">integrating </w:t>
      </w:r>
      <w:r w:rsidR="00D918B2" w:rsidRPr="00B06671">
        <w:t xml:space="preserve">family/youth engagement </w:t>
      </w:r>
      <w:r w:rsidR="002D3CBC" w:rsidRPr="00B06671">
        <w:t>efforts agency</w:t>
      </w:r>
      <w:r w:rsidRPr="00B06671">
        <w:t xml:space="preserve">-wide and developing </w:t>
      </w:r>
      <w:r w:rsidR="002D3CBC" w:rsidRPr="00B06671">
        <w:t xml:space="preserve">a family engagement strategy </w:t>
      </w:r>
      <w:r w:rsidRPr="00B06671">
        <w:t xml:space="preserve">to </w:t>
      </w:r>
      <w:r w:rsidR="002D3CBC" w:rsidRPr="00B06671">
        <w:t>identify how the policies and programs help to create and/or support teachers, school staff, administrators and parents individually and collectively support student aca</w:t>
      </w:r>
      <w:r w:rsidR="00F75F37" w:rsidRPr="00B06671">
        <w:t>demic achievement.</w:t>
      </w:r>
    </w:p>
    <w:p w:rsidR="00F75F37" w:rsidRPr="00B06671" w:rsidRDefault="00B06671" w:rsidP="00B06671">
      <w:pPr>
        <w:pStyle w:val="ListParagraph"/>
        <w:numPr>
          <w:ilvl w:val="0"/>
          <w:numId w:val="1"/>
        </w:numPr>
        <w:tabs>
          <w:tab w:val="clear" w:pos="810"/>
          <w:tab w:val="num" w:pos="720"/>
        </w:tabs>
        <w:ind w:left="720"/>
      </w:pPr>
      <w:r w:rsidRPr="00B06671">
        <w:t>Instructions on “Call for Abstracts” both for branch-sponsored grantee meetings and national meetings, including the bi-annual Training Institutes, request that Family Members and Youth be active participants on panels and workshops whenever possible. For grantee meetings, it is required that a youth or family member be a co-presenter for all sessions.</w:t>
      </w:r>
    </w:p>
    <w:p w:rsidR="00FA497B" w:rsidRDefault="00FA497B" w:rsidP="00FA497B">
      <w:pPr>
        <w:autoSpaceDE w:val="0"/>
        <w:autoSpaceDN w:val="0"/>
        <w:rPr>
          <w:rFonts w:ascii="Georgia" w:hAnsi="Georgia"/>
          <w:i/>
          <w:iCs/>
          <w:sz w:val="28"/>
          <w:szCs w:val="28"/>
        </w:rPr>
      </w:pPr>
      <w:r>
        <w:rPr>
          <w:rFonts w:ascii="Georgia" w:hAnsi="Georgia"/>
          <w:i/>
          <w:iCs/>
          <w:sz w:val="28"/>
          <w:szCs w:val="28"/>
        </w:rPr>
        <w:t>II. Building a systemic infrastructure that formally includes families in the development and implementation of agency/sy</w:t>
      </w:r>
      <w:r w:rsidR="00F352EE">
        <w:rPr>
          <w:rFonts w:ascii="Georgia" w:hAnsi="Georgia"/>
          <w:i/>
          <w:iCs/>
          <w:sz w:val="28"/>
          <w:szCs w:val="28"/>
        </w:rPr>
        <w:t>stem policies and practices</w:t>
      </w:r>
    </w:p>
    <w:p w:rsidR="00B06671" w:rsidRDefault="00B06671" w:rsidP="00B06671">
      <w:pPr>
        <w:ind w:left="720"/>
      </w:pPr>
    </w:p>
    <w:p w:rsidR="00A066D9" w:rsidRDefault="00732A4A" w:rsidP="00F71B17">
      <w:pPr>
        <w:numPr>
          <w:ilvl w:val="0"/>
          <w:numId w:val="1"/>
        </w:numPr>
        <w:tabs>
          <w:tab w:val="clear" w:pos="810"/>
          <w:tab w:val="num" w:pos="720"/>
        </w:tabs>
        <w:ind w:left="720"/>
      </w:pPr>
      <w:r>
        <w:t xml:space="preserve">DOJ, Education and HHS </w:t>
      </w:r>
      <w:r w:rsidR="00F369DD">
        <w:t xml:space="preserve">agencies and </w:t>
      </w:r>
      <w:r w:rsidR="00A066D9">
        <w:t>the Center for Juvenile Justice Reform develop</w:t>
      </w:r>
      <w:r w:rsidR="00F369DD">
        <w:t>ed</w:t>
      </w:r>
      <w:r w:rsidR="00A066D9">
        <w:t xml:space="preserve"> recommendations to advance family engagement and partnership and </w:t>
      </w:r>
      <w:r w:rsidR="00F369DD">
        <w:t>create</w:t>
      </w:r>
      <w:r w:rsidR="00A066D9">
        <w:t xml:space="preserve"> an infrastructure to support that work in the federal agencies.</w:t>
      </w:r>
    </w:p>
    <w:p w:rsidR="00936ED7" w:rsidRDefault="00936ED7" w:rsidP="00936ED7">
      <w:pPr>
        <w:ind w:left="810"/>
      </w:pPr>
    </w:p>
    <w:p w:rsidR="00936ED7" w:rsidRDefault="00AD4ECD" w:rsidP="00F71B17">
      <w:pPr>
        <w:pStyle w:val="ListParagraph"/>
        <w:numPr>
          <w:ilvl w:val="0"/>
          <w:numId w:val="1"/>
        </w:numPr>
        <w:tabs>
          <w:tab w:val="clear" w:pos="810"/>
          <w:tab w:val="num" w:pos="720"/>
        </w:tabs>
        <w:spacing w:line="240" w:lineRule="auto"/>
        <w:ind w:left="720"/>
      </w:pPr>
      <w:r>
        <w:t>Several</w:t>
      </w:r>
      <w:r w:rsidR="00936ED7">
        <w:t xml:space="preserve"> agencies have family and/or youth representation on federal or national advisory councils:</w:t>
      </w:r>
    </w:p>
    <w:p w:rsidR="00936ED7" w:rsidRPr="00BE424D" w:rsidRDefault="00936ED7" w:rsidP="00936ED7">
      <w:pPr>
        <w:pStyle w:val="ListParagraph"/>
        <w:numPr>
          <w:ilvl w:val="1"/>
          <w:numId w:val="1"/>
        </w:numPr>
        <w:spacing w:line="240" w:lineRule="auto"/>
      </w:pPr>
      <w:r>
        <w:t xml:space="preserve">The </w:t>
      </w:r>
      <w:r w:rsidRPr="00BE424D">
        <w:t xml:space="preserve">National Advisory Council </w:t>
      </w:r>
      <w:r>
        <w:t xml:space="preserve">of </w:t>
      </w:r>
      <w:r w:rsidRPr="00BE424D">
        <w:t>SAMHSA</w:t>
      </w:r>
      <w:r>
        <w:t xml:space="preserve">’s </w:t>
      </w:r>
      <w:r w:rsidRPr="00BE424D">
        <w:t xml:space="preserve">Center for Mental Health Services </w:t>
      </w:r>
      <w:r>
        <w:t>(</w:t>
      </w:r>
      <w:r w:rsidRPr="00BE424D">
        <w:t>CMHS</w:t>
      </w:r>
      <w:r>
        <w:t>)</w:t>
      </w:r>
      <w:r w:rsidRPr="00BE424D">
        <w:t xml:space="preserve"> </w:t>
      </w:r>
      <w:r>
        <w:t>includes representation from</w:t>
      </w:r>
      <w:r w:rsidRPr="00BE424D">
        <w:t xml:space="preserve"> a young person. </w:t>
      </w:r>
    </w:p>
    <w:p w:rsidR="00936ED7" w:rsidRDefault="00936ED7" w:rsidP="00936ED7">
      <w:pPr>
        <w:pStyle w:val="ListParagraph"/>
        <w:numPr>
          <w:ilvl w:val="1"/>
          <w:numId w:val="1"/>
        </w:numPr>
        <w:spacing w:line="240" w:lineRule="auto"/>
      </w:pPr>
      <w:r>
        <w:t>The CMHS</w:t>
      </w:r>
      <w:r w:rsidRPr="00BE424D">
        <w:t xml:space="preserve"> also </w:t>
      </w:r>
      <w:r>
        <w:t>includes</w:t>
      </w:r>
      <w:r w:rsidRPr="00BE424D">
        <w:t xml:space="preserve"> a consumer and family subcommittee. </w:t>
      </w:r>
    </w:p>
    <w:p w:rsidR="00DC54D5" w:rsidRDefault="00936ED7" w:rsidP="00DC54D5">
      <w:pPr>
        <w:pStyle w:val="ListParagraph"/>
        <w:numPr>
          <w:ilvl w:val="1"/>
          <w:numId w:val="1"/>
        </w:numPr>
        <w:spacing w:line="240" w:lineRule="auto"/>
      </w:pPr>
      <w:r>
        <w:t xml:space="preserve">OJJDP’s Federal Advisory Committee on Juvenile Justice has youth members and </w:t>
      </w:r>
      <w:r w:rsidR="00AD4ECD">
        <w:t>has established</w:t>
      </w:r>
      <w:r>
        <w:t xml:space="preserve"> a family/youth engagement subcommittee.</w:t>
      </w:r>
    </w:p>
    <w:p w:rsidR="00DC54D5" w:rsidRDefault="00DC54D5" w:rsidP="00F71B17">
      <w:pPr>
        <w:numPr>
          <w:ilvl w:val="0"/>
          <w:numId w:val="1"/>
        </w:numPr>
        <w:tabs>
          <w:tab w:val="clear" w:pos="810"/>
          <w:tab w:val="num" w:pos="720"/>
        </w:tabs>
        <w:ind w:left="720"/>
      </w:pPr>
      <w:r>
        <w:t>SAMHSA has a project officer position in the Child, Adolescent and Family Branch held by a family member who regularly influences policy and practices within the Child Mental Health Initiative program</w:t>
      </w:r>
      <w:r w:rsidR="00755095">
        <w:t xml:space="preserve"> and </w:t>
      </w:r>
      <w:r>
        <w:t>manages the Statewide Family Network Program.</w:t>
      </w:r>
    </w:p>
    <w:p w:rsidR="00DC54D5" w:rsidRDefault="00DC54D5" w:rsidP="00DC54D5">
      <w:pPr>
        <w:ind w:left="450"/>
      </w:pPr>
    </w:p>
    <w:p w:rsidR="002C44FE" w:rsidRDefault="002C44FE" w:rsidP="00F71B17">
      <w:pPr>
        <w:numPr>
          <w:ilvl w:val="0"/>
          <w:numId w:val="1"/>
        </w:numPr>
        <w:tabs>
          <w:tab w:val="clear" w:pos="810"/>
          <w:tab w:val="num" w:pos="720"/>
        </w:tabs>
        <w:ind w:left="720"/>
      </w:pPr>
      <w:r>
        <w:t xml:space="preserve">The three Departments promote and support family/youth engagement </w:t>
      </w:r>
      <w:r w:rsidR="002552C9">
        <w:t>strategies</w:t>
      </w:r>
      <w:r w:rsidR="004808AC">
        <w:t xml:space="preserve"> through </w:t>
      </w:r>
      <w:r w:rsidR="00DC54D5">
        <w:t xml:space="preserve">grant </w:t>
      </w:r>
      <w:r w:rsidR="004808AC">
        <w:t>program</w:t>
      </w:r>
      <w:r w:rsidR="00C3239F">
        <w:t xml:space="preserve"> work</w:t>
      </w:r>
      <w:r w:rsidR="00DC54D5">
        <w:t xml:space="preserve"> including</w:t>
      </w:r>
      <w:r>
        <w:t>:</w:t>
      </w:r>
    </w:p>
    <w:p w:rsidR="004808AC" w:rsidRDefault="00DC54D5" w:rsidP="004808AC">
      <w:pPr>
        <w:numPr>
          <w:ilvl w:val="1"/>
          <w:numId w:val="1"/>
        </w:numPr>
      </w:pPr>
      <w:r>
        <w:t>Support to the cities</w:t>
      </w:r>
      <w:r w:rsidR="004808AC">
        <w:t xml:space="preserve"> of the National Forum on Youth Violence Prevention to engage families and youth in their systems change efforts.  </w:t>
      </w:r>
    </w:p>
    <w:p w:rsidR="002C44FE" w:rsidRPr="002C44FE" w:rsidRDefault="00DC54D5" w:rsidP="002C44FE">
      <w:pPr>
        <w:numPr>
          <w:ilvl w:val="1"/>
          <w:numId w:val="1"/>
        </w:numPr>
      </w:pPr>
      <w:r>
        <w:rPr>
          <w:rFonts w:eastAsia="Times New Roman" w:cs="Arial"/>
          <w:bCs/>
          <w:iCs/>
        </w:rPr>
        <w:t xml:space="preserve">Requiring </w:t>
      </w:r>
      <w:r w:rsidR="003838A5">
        <w:rPr>
          <w:rFonts w:eastAsia="Times New Roman" w:cs="Arial"/>
          <w:bCs/>
          <w:iCs/>
        </w:rPr>
        <w:t>family liaisons and youth coordinators</w:t>
      </w:r>
      <w:r w:rsidR="00BF6D4C">
        <w:rPr>
          <w:rFonts w:eastAsia="Times New Roman" w:cs="Arial"/>
          <w:bCs/>
          <w:iCs/>
        </w:rPr>
        <w:t>, e.g.,</w:t>
      </w:r>
      <w:r w:rsidR="003838A5">
        <w:rPr>
          <w:rFonts w:eastAsia="Times New Roman" w:cs="Arial"/>
          <w:bCs/>
          <w:iCs/>
        </w:rPr>
        <w:t xml:space="preserve"> </w:t>
      </w:r>
      <w:r>
        <w:rPr>
          <w:rFonts w:eastAsia="Times New Roman" w:cs="Arial"/>
          <w:bCs/>
          <w:iCs/>
        </w:rPr>
        <w:t>i</w:t>
      </w:r>
      <w:r w:rsidR="002C44FE" w:rsidRPr="002C44FE">
        <w:rPr>
          <w:rFonts w:eastAsia="Times New Roman" w:cs="Arial"/>
          <w:bCs/>
          <w:iCs/>
        </w:rPr>
        <w:t>n SAMHSA systems of care</w:t>
      </w:r>
      <w:r>
        <w:rPr>
          <w:rFonts w:eastAsia="Times New Roman" w:cs="Arial"/>
          <w:bCs/>
          <w:iCs/>
        </w:rPr>
        <w:t xml:space="preserve"> (SOC) grantee organizations</w:t>
      </w:r>
      <w:r w:rsidR="00BF6D4C">
        <w:rPr>
          <w:rFonts w:eastAsia="Times New Roman" w:cs="Arial"/>
          <w:bCs/>
          <w:iCs/>
        </w:rPr>
        <w:t xml:space="preserve"> where they</w:t>
      </w:r>
      <w:r>
        <w:rPr>
          <w:rFonts w:eastAsia="Times New Roman" w:cs="Arial"/>
          <w:bCs/>
          <w:iCs/>
        </w:rPr>
        <w:t xml:space="preserve"> develop</w:t>
      </w:r>
      <w:r w:rsidR="002C44FE" w:rsidRPr="002C44FE">
        <w:rPr>
          <w:rFonts w:eastAsia="Calibri"/>
        </w:rPr>
        <w:t xml:space="preserve"> activities </w:t>
      </w:r>
      <w:r>
        <w:rPr>
          <w:rFonts w:eastAsia="Calibri"/>
        </w:rPr>
        <w:t>that</w:t>
      </w:r>
      <w:r w:rsidRPr="002C44FE">
        <w:rPr>
          <w:rFonts w:eastAsia="Calibri"/>
        </w:rPr>
        <w:t xml:space="preserve"> represent the voice of youth who have serious mental health needs</w:t>
      </w:r>
      <w:r w:rsidR="003838A5">
        <w:rPr>
          <w:rFonts w:eastAsia="Calibri"/>
        </w:rPr>
        <w:t xml:space="preserve">, </w:t>
      </w:r>
      <w:r w:rsidR="002C44FE" w:rsidRPr="002C44FE">
        <w:rPr>
          <w:rFonts w:eastAsia="Calibri"/>
        </w:rPr>
        <w:t xml:space="preserve">facilitate </w:t>
      </w:r>
      <w:r>
        <w:rPr>
          <w:rFonts w:eastAsia="Calibri"/>
        </w:rPr>
        <w:t xml:space="preserve">youth </w:t>
      </w:r>
      <w:r w:rsidR="002C44FE" w:rsidRPr="002C44FE">
        <w:rPr>
          <w:rFonts w:eastAsia="Calibri"/>
        </w:rPr>
        <w:t>involvement in development of the system of care</w:t>
      </w:r>
      <w:r w:rsidR="003838A5">
        <w:rPr>
          <w:rFonts w:eastAsia="Calibri"/>
        </w:rPr>
        <w:t xml:space="preserve"> and work</w:t>
      </w:r>
      <w:r w:rsidR="002C44FE" w:rsidRPr="002C44FE">
        <w:rPr>
          <w:rFonts w:eastAsia="Calibri"/>
        </w:rPr>
        <w:t xml:space="preserve"> with existing family-run organization</w:t>
      </w:r>
      <w:r w:rsidR="003838A5">
        <w:rPr>
          <w:rFonts w:eastAsia="Calibri"/>
        </w:rPr>
        <w:t xml:space="preserve">s to develop, </w:t>
      </w:r>
      <w:r w:rsidR="003838A5">
        <w:rPr>
          <w:rFonts w:eastAsia="Calibri"/>
        </w:rPr>
        <w:lastRenderedPageBreak/>
        <w:t>implement and evaluate the system of care and provide</w:t>
      </w:r>
      <w:r w:rsidR="002C44FE" w:rsidRPr="002C44FE">
        <w:rPr>
          <w:rFonts w:eastAsia="Calibri"/>
        </w:rPr>
        <w:t xml:space="preserve"> support services for families receiving services.  </w:t>
      </w:r>
    </w:p>
    <w:p w:rsidR="004808AC" w:rsidRPr="004808AC" w:rsidRDefault="002C44FE" w:rsidP="004808AC">
      <w:pPr>
        <w:numPr>
          <w:ilvl w:val="1"/>
          <w:numId w:val="1"/>
        </w:numPr>
        <w:rPr>
          <w:rFonts w:asciiTheme="minorHAnsi" w:hAnsiTheme="minorHAnsi"/>
        </w:rPr>
      </w:pPr>
      <w:r>
        <w:rPr>
          <w:rFonts w:cs="Courier New"/>
        </w:rPr>
        <w:t>SAMHSA’s</w:t>
      </w:r>
      <w:r w:rsidRPr="00D571A1">
        <w:rPr>
          <w:rFonts w:cs="Courier New"/>
        </w:rPr>
        <w:t xml:space="preserve"> Building Bridges Initiative (BBI)</w:t>
      </w:r>
      <w:r w:rsidR="00BF6D4C">
        <w:rPr>
          <w:rFonts w:cs="Courier New"/>
        </w:rPr>
        <w:t>, which</w:t>
      </w:r>
      <w:r w:rsidRPr="00D571A1">
        <w:rPr>
          <w:rFonts w:cs="Courier New"/>
        </w:rPr>
        <w:t xml:space="preserve"> builds partnerships among residential and community providers, families, youth, advocates, and policy makers to achieve positive outcomes for youth and families. </w:t>
      </w:r>
      <w:r w:rsidRPr="00D571A1">
        <w:t xml:space="preserve">The Family Advisory Network (consisting of family members from across the country whose own children have been or are currently being served in residential programs) and </w:t>
      </w:r>
      <w:r>
        <w:t xml:space="preserve">the </w:t>
      </w:r>
      <w:r w:rsidRPr="00D571A1">
        <w:t xml:space="preserve">Youth Advisory Group </w:t>
      </w:r>
      <w:r>
        <w:t>(</w:t>
      </w:r>
      <w:r w:rsidRPr="00D571A1">
        <w:t>consists of youth and advocates who have been or are currently being served in residential programs</w:t>
      </w:r>
      <w:r>
        <w:t xml:space="preserve">) have developed two guides </w:t>
      </w:r>
      <w:r w:rsidRPr="00D571A1">
        <w:t xml:space="preserve">for successfully engaging youth and families. </w:t>
      </w:r>
      <w:r>
        <w:t>(</w:t>
      </w:r>
      <w:r w:rsidRPr="00D571A1">
        <w:rPr>
          <w:i/>
        </w:rPr>
        <w:t xml:space="preserve">The BBI Handbook: Peer Youth Advocates in Residential Programs (Handbook) </w:t>
      </w:r>
      <w:r w:rsidRPr="00D571A1">
        <w:t xml:space="preserve">can be downloaded at </w:t>
      </w:r>
      <w:hyperlink r:id="rId8" w:history="1">
        <w:r w:rsidRPr="00D571A1">
          <w:rPr>
            <w:rStyle w:val="Hyperlink"/>
          </w:rPr>
          <w:t>www.buildingbridges4youth.org/products</w:t>
        </w:r>
      </w:hyperlink>
      <w:r w:rsidRPr="00D571A1">
        <w:t>. This handbook provides guidance on how to effectively use youth advocates in residential programs</w:t>
      </w:r>
      <w:r>
        <w:t xml:space="preserve">) </w:t>
      </w:r>
    </w:p>
    <w:p w:rsidR="004808AC" w:rsidRPr="002C44FE" w:rsidRDefault="004808AC" w:rsidP="004808AC">
      <w:pPr>
        <w:numPr>
          <w:ilvl w:val="1"/>
          <w:numId w:val="1"/>
        </w:numPr>
        <w:rPr>
          <w:rFonts w:asciiTheme="minorHAnsi" w:hAnsiTheme="minorHAnsi"/>
        </w:rPr>
      </w:pPr>
      <w:r w:rsidRPr="004808AC">
        <w:rPr>
          <w:rFonts w:asciiTheme="minorHAnsi" w:eastAsia="Times New Roman" w:hAnsiTheme="minorHAnsi" w:cs="Arial"/>
        </w:rPr>
        <w:t>SAMHSA’s Family Network Grantees</w:t>
      </w:r>
      <w:r w:rsidR="00BF6D4C">
        <w:rPr>
          <w:rFonts w:asciiTheme="minorHAnsi" w:eastAsia="Times New Roman" w:hAnsiTheme="minorHAnsi" w:cs="Arial"/>
        </w:rPr>
        <w:t>, which is</w:t>
      </w:r>
      <w:r w:rsidRPr="00BE424D">
        <w:rPr>
          <w:rFonts w:asciiTheme="minorHAnsi" w:eastAsia="Times New Roman" w:hAnsiTheme="minorHAnsi" w:cs="Arial"/>
        </w:rPr>
        <w:t xml:space="preserve"> a grant program supporting family-run organizations</w:t>
      </w:r>
      <w:r w:rsidR="00BF6D4C">
        <w:rPr>
          <w:rFonts w:asciiTheme="minorHAnsi" w:eastAsia="Times New Roman" w:hAnsiTheme="minorHAnsi" w:cs="Arial"/>
        </w:rPr>
        <w:t>, many of which</w:t>
      </w:r>
      <w:r w:rsidRPr="00BE424D">
        <w:rPr>
          <w:rFonts w:asciiTheme="minorHAnsi" w:eastAsia="Times New Roman" w:hAnsiTheme="minorHAnsi" w:cs="Arial"/>
        </w:rPr>
        <w:t xml:space="preserve"> have produced products furthering family and youth engagement.</w:t>
      </w:r>
    </w:p>
    <w:p w:rsidR="002C44FE" w:rsidRDefault="004808AC" w:rsidP="004808AC">
      <w:pPr>
        <w:numPr>
          <w:ilvl w:val="1"/>
          <w:numId w:val="1"/>
        </w:numPr>
      </w:pPr>
      <w:r>
        <w:t>OJJDP’s new National Center for Youth in Custody</w:t>
      </w:r>
      <w:r w:rsidR="00BF6D4C">
        <w:t>, which</w:t>
      </w:r>
      <w:r>
        <w:t xml:space="preserve"> has designated youth, family and community engagement as one of its three areas of focus and has included family and youth representatives on its advisory body.</w:t>
      </w:r>
    </w:p>
    <w:p w:rsidR="00436380" w:rsidRDefault="00436380" w:rsidP="004808AC">
      <w:pPr>
        <w:numPr>
          <w:ilvl w:val="1"/>
          <w:numId w:val="1"/>
        </w:numPr>
      </w:pPr>
      <w:r>
        <w:t>OJJDP’s formula grants to states</w:t>
      </w:r>
      <w:r w:rsidR="00323B87">
        <w:t>, which</w:t>
      </w:r>
      <w:r>
        <w:t xml:space="preserve"> require them to establish State Advisory Groups that must include both youth members (age 24 or younger at age of appointment) and individuals with current or past involvement in the JJ system.</w:t>
      </w:r>
    </w:p>
    <w:p w:rsidR="00333C41" w:rsidRDefault="00323B87" w:rsidP="004808AC">
      <w:pPr>
        <w:numPr>
          <w:ilvl w:val="1"/>
          <w:numId w:val="1"/>
        </w:numPr>
      </w:pPr>
      <w:r>
        <w:t xml:space="preserve">Several </w:t>
      </w:r>
      <w:r w:rsidR="00333C41">
        <w:t xml:space="preserve">Children’s Bureau </w:t>
      </w:r>
      <w:r>
        <w:t>programs</w:t>
      </w:r>
      <w:r w:rsidR="00333C41">
        <w:t>:</w:t>
      </w:r>
    </w:p>
    <w:p w:rsidR="00323B87" w:rsidRPr="009041D8" w:rsidRDefault="000316F3" w:rsidP="009041D8">
      <w:pPr>
        <w:ind w:left="1800"/>
        <w:contextualSpacing/>
      </w:pPr>
      <w:r w:rsidRPr="009041D8">
        <w:rPr>
          <w:rFonts w:asciiTheme="minorHAnsi" w:eastAsia="Times New Roman" w:hAnsiTheme="minorHAnsi"/>
        </w:rPr>
        <w:t>John H. Chafee Foster Care Independence Program</w:t>
      </w:r>
      <w:r w:rsidR="00323B87" w:rsidRPr="009041D8">
        <w:rPr>
          <w:rFonts w:asciiTheme="minorHAnsi" w:eastAsia="Times New Roman" w:hAnsiTheme="minorHAnsi"/>
        </w:rPr>
        <w:t xml:space="preserve">; </w:t>
      </w:r>
      <w:r w:rsidRPr="009041D8">
        <w:rPr>
          <w:rFonts w:asciiTheme="minorHAnsi" w:eastAsia="Times New Roman" w:hAnsiTheme="minorHAnsi"/>
        </w:rPr>
        <w:t>Title IV-B, Subpart 1</w:t>
      </w:r>
      <w:r w:rsidR="00323B87" w:rsidRPr="009041D8">
        <w:rPr>
          <w:rFonts w:asciiTheme="minorHAnsi" w:eastAsia="Times New Roman" w:hAnsiTheme="minorHAnsi"/>
        </w:rPr>
        <w:t xml:space="preserve"> </w:t>
      </w:r>
      <w:r w:rsidRPr="009041D8">
        <w:rPr>
          <w:rFonts w:asciiTheme="minorHAnsi" w:eastAsia="Times New Roman" w:hAnsiTheme="minorHAnsi"/>
        </w:rPr>
        <w:t>of the Social Security Act, Child Welfare Services</w:t>
      </w:r>
      <w:r w:rsidR="00323B87" w:rsidRPr="009041D8">
        <w:rPr>
          <w:rFonts w:asciiTheme="minorHAnsi" w:eastAsia="Times New Roman" w:hAnsiTheme="minorHAnsi"/>
        </w:rPr>
        <w:t xml:space="preserve"> and Subpart 2, </w:t>
      </w:r>
      <w:r w:rsidRPr="009041D8">
        <w:rPr>
          <w:rFonts w:asciiTheme="minorHAnsi" w:eastAsia="Times New Roman" w:hAnsiTheme="minorHAnsi"/>
        </w:rPr>
        <w:t>Pro</w:t>
      </w:r>
      <w:r w:rsidR="00323B87" w:rsidRPr="009041D8">
        <w:rPr>
          <w:rFonts w:asciiTheme="minorHAnsi" w:eastAsia="Times New Roman" w:hAnsiTheme="minorHAnsi"/>
        </w:rPr>
        <w:t xml:space="preserve">moting Safe and Stable Families; and </w:t>
      </w:r>
      <w:r w:rsidRPr="009041D8">
        <w:rPr>
          <w:rFonts w:asciiTheme="minorHAnsi" w:eastAsia="Times New Roman" w:hAnsiTheme="minorHAnsi"/>
        </w:rPr>
        <w:t>Community-Based Grants for the Prevention of Child Abuse and Neglect</w:t>
      </w:r>
      <w:r w:rsidR="00323B87" w:rsidRPr="009041D8">
        <w:rPr>
          <w:rFonts w:asciiTheme="minorHAnsi" w:eastAsia="Times New Roman" w:hAnsiTheme="minorHAnsi"/>
        </w:rPr>
        <w:t xml:space="preserve">. </w:t>
      </w:r>
    </w:p>
    <w:p w:rsidR="00323B87" w:rsidRDefault="00323B87" w:rsidP="00323B87">
      <w:pPr>
        <w:ind w:left="1800"/>
        <w:contextualSpacing/>
      </w:pPr>
    </w:p>
    <w:p w:rsidR="004808AC" w:rsidRDefault="004808AC" w:rsidP="00F71B17">
      <w:pPr>
        <w:numPr>
          <w:ilvl w:val="0"/>
          <w:numId w:val="1"/>
        </w:numPr>
        <w:tabs>
          <w:tab w:val="clear" w:pos="810"/>
          <w:tab w:val="num" w:pos="720"/>
        </w:tabs>
      </w:pPr>
      <w:r>
        <w:t>The three Departments promote and support family/youth engagement strategies</w:t>
      </w:r>
      <w:r w:rsidR="00C3239F">
        <w:t xml:space="preserve"> </w:t>
      </w:r>
      <w:r>
        <w:t>through technical assistance</w:t>
      </w:r>
      <w:r w:rsidR="00323B87">
        <w:t>, including</w:t>
      </w:r>
      <w:r>
        <w:t>:</w:t>
      </w:r>
    </w:p>
    <w:p w:rsidR="002C44FE" w:rsidRPr="004808AC" w:rsidRDefault="002C44FE" w:rsidP="002C44FE">
      <w:pPr>
        <w:numPr>
          <w:ilvl w:val="1"/>
          <w:numId w:val="1"/>
        </w:numPr>
        <w:rPr>
          <w:i/>
        </w:rPr>
      </w:pPr>
      <w:r w:rsidRPr="004808AC">
        <w:rPr>
          <w:rFonts w:eastAsia="Calibri"/>
        </w:rPr>
        <w:t>SAMHSA’s Technical Assistance Partnership</w:t>
      </w:r>
      <w:r w:rsidRPr="00D571A1">
        <w:rPr>
          <w:rFonts w:eastAsia="Calibri"/>
        </w:rPr>
        <w:t xml:space="preserve"> (see TA Partnership.org)</w:t>
      </w:r>
      <w:r w:rsidR="009041D8">
        <w:rPr>
          <w:rFonts w:eastAsia="Calibri"/>
        </w:rPr>
        <w:t xml:space="preserve"> for its</w:t>
      </w:r>
      <w:r w:rsidR="00936ED7">
        <w:rPr>
          <w:rFonts w:eastAsia="Calibri"/>
        </w:rPr>
        <w:t xml:space="preserve"> systems of care grantees.  </w:t>
      </w:r>
    </w:p>
    <w:p w:rsidR="004808AC" w:rsidRPr="00F14F0B" w:rsidRDefault="004808AC" w:rsidP="002C44FE">
      <w:pPr>
        <w:numPr>
          <w:ilvl w:val="1"/>
          <w:numId w:val="1"/>
        </w:numPr>
        <w:rPr>
          <w:i/>
        </w:rPr>
      </w:pPr>
      <w:r>
        <w:rPr>
          <w:rFonts w:eastAsia="Calibri"/>
        </w:rPr>
        <w:t xml:space="preserve">OJJDP’s National Training and Technical Assistance Center and </w:t>
      </w:r>
      <w:r w:rsidR="00C12068">
        <w:rPr>
          <w:rFonts w:eastAsia="Calibri"/>
        </w:rPr>
        <w:t xml:space="preserve">its contract provide </w:t>
      </w:r>
      <w:r>
        <w:rPr>
          <w:rFonts w:eastAsia="Calibri"/>
        </w:rPr>
        <w:t>TA to the states</w:t>
      </w:r>
      <w:r w:rsidR="009041D8">
        <w:rPr>
          <w:rFonts w:eastAsia="Calibri"/>
        </w:rPr>
        <w:t xml:space="preserve"> and</w:t>
      </w:r>
      <w:r>
        <w:rPr>
          <w:rFonts w:eastAsia="Calibri"/>
        </w:rPr>
        <w:t xml:space="preserve"> can support family/youth engagement work.</w:t>
      </w:r>
    </w:p>
    <w:p w:rsidR="00F14F0B" w:rsidRPr="00F14F0B" w:rsidRDefault="00F14F0B" w:rsidP="00F14F0B">
      <w:pPr>
        <w:numPr>
          <w:ilvl w:val="1"/>
          <w:numId w:val="1"/>
        </w:numPr>
        <w:rPr>
          <w:i/>
        </w:rPr>
      </w:pPr>
      <w:r>
        <w:t>The Children’s Bureau provides coordinated training, technical assistance, research, and consultation services to States, Tribes, communities, and child welfare professionals through its Training and Technical Assistance (T&amp;TA) Network.</w:t>
      </w:r>
    </w:p>
    <w:p w:rsidR="008A2814" w:rsidRPr="009041D8" w:rsidRDefault="00F14F0B" w:rsidP="008A2814">
      <w:pPr>
        <w:numPr>
          <w:ilvl w:val="0"/>
          <w:numId w:val="4"/>
        </w:numPr>
        <w:ind w:left="1440"/>
        <w:contextualSpacing/>
        <w:rPr>
          <w:rFonts w:asciiTheme="minorHAnsi" w:eastAsia="Times New Roman" w:hAnsiTheme="minorHAnsi"/>
          <w:i/>
        </w:rPr>
      </w:pPr>
      <w:r>
        <w:t xml:space="preserve">The Children’s Bureau’s </w:t>
      </w:r>
      <w:r w:rsidRPr="009041D8">
        <w:rPr>
          <w:rFonts w:asciiTheme="minorHAnsi" w:eastAsia="Times New Roman" w:hAnsiTheme="minorHAnsi"/>
        </w:rPr>
        <w:t>National Resource Centers (NRCs) provide topical T&amp;TA to States and Tribes to address key issues related to child welfare service delivery, including:</w:t>
      </w:r>
      <w:r w:rsidR="009041D8">
        <w:rPr>
          <w:rFonts w:asciiTheme="minorHAnsi" w:eastAsia="Times New Roman" w:hAnsiTheme="minorHAnsi"/>
        </w:rPr>
        <w:t xml:space="preserve">  </w:t>
      </w:r>
      <w:r w:rsidRPr="009041D8">
        <w:rPr>
          <w:rFonts w:asciiTheme="minorHAnsi" w:eastAsia="Times New Roman" w:hAnsiTheme="minorHAnsi"/>
        </w:rPr>
        <w:t>Permanency and Family Connections</w:t>
      </w:r>
      <w:r w:rsidR="009041D8" w:rsidRPr="009041D8">
        <w:rPr>
          <w:rFonts w:asciiTheme="minorHAnsi" w:eastAsia="Times New Roman" w:hAnsiTheme="minorHAnsi"/>
        </w:rPr>
        <w:t xml:space="preserve">; </w:t>
      </w:r>
      <w:r w:rsidRPr="009041D8">
        <w:rPr>
          <w:rFonts w:asciiTheme="minorHAnsi" w:eastAsia="Times New Roman" w:hAnsiTheme="minorHAnsi"/>
        </w:rPr>
        <w:t>In-Home Services</w:t>
      </w:r>
      <w:r w:rsidR="009041D8" w:rsidRPr="009041D8">
        <w:rPr>
          <w:rFonts w:asciiTheme="minorHAnsi" w:eastAsia="Times New Roman" w:hAnsiTheme="minorHAnsi"/>
        </w:rPr>
        <w:t xml:space="preserve">; and </w:t>
      </w:r>
      <w:r w:rsidRPr="009041D8">
        <w:rPr>
          <w:rFonts w:asciiTheme="minorHAnsi" w:eastAsia="Times New Roman" w:hAnsiTheme="minorHAnsi"/>
        </w:rPr>
        <w:t xml:space="preserve">Youth </w:t>
      </w:r>
      <w:r w:rsidR="009041D8" w:rsidRPr="009041D8">
        <w:rPr>
          <w:rFonts w:asciiTheme="minorHAnsi" w:eastAsia="Times New Roman" w:hAnsiTheme="minorHAnsi"/>
        </w:rPr>
        <w:t>Development</w:t>
      </w:r>
      <w:r w:rsidR="009041D8" w:rsidRPr="009041D8">
        <w:rPr>
          <w:rFonts w:asciiTheme="minorHAnsi" w:eastAsia="Times New Roman" w:hAnsiTheme="minorHAnsi"/>
          <w:i/>
        </w:rPr>
        <w:t xml:space="preserve"> </w:t>
      </w:r>
    </w:p>
    <w:p w:rsidR="008A2814" w:rsidRPr="008A2814" w:rsidRDefault="008A2814" w:rsidP="008A2814">
      <w:pPr>
        <w:pStyle w:val="ListParagraph"/>
        <w:numPr>
          <w:ilvl w:val="0"/>
          <w:numId w:val="6"/>
        </w:numPr>
        <w:rPr>
          <w:rFonts w:eastAsia="Times New Roman"/>
          <w:i/>
        </w:rPr>
      </w:pPr>
      <w:r w:rsidRPr="008A2814">
        <w:rPr>
          <w:rFonts w:eastAsia="Times New Roman"/>
        </w:rPr>
        <w:t xml:space="preserve">Children’s Bureau T&amp;TA Network members offering information, training, and technical assistance include: </w:t>
      </w:r>
    </w:p>
    <w:p w:rsidR="008A2814" w:rsidRPr="008A2814" w:rsidRDefault="008A2814" w:rsidP="008A2814">
      <w:pPr>
        <w:pStyle w:val="ListParagraph"/>
        <w:numPr>
          <w:ilvl w:val="2"/>
          <w:numId w:val="1"/>
        </w:numPr>
        <w:rPr>
          <w:rFonts w:eastAsia="Times New Roman"/>
          <w:b/>
        </w:rPr>
      </w:pPr>
      <w:r w:rsidRPr="008A2814">
        <w:rPr>
          <w:rFonts w:eastAsia="Times New Roman"/>
          <w:i/>
        </w:rPr>
        <w:t>National Technical Assistance and Evaluation Center for Child Welfare Systems of Care Grantee</w:t>
      </w:r>
      <w:r w:rsidR="009041D8">
        <w:rPr>
          <w:rFonts w:eastAsia="Times New Roman"/>
          <w:i/>
        </w:rPr>
        <w:t xml:space="preserve">, </w:t>
      </w:r>
      <w:r w:rsidR="009041D8">
        <w:rPr>
          <w:rFonts w:eastAsia="Times New Roman"/>
        </w:rPr>
        <w:t>which improves</w:t>
      </w:r>
      <w:r w:rsidRPr="008A2814">
        <w:rPr>
          <w:rFonts w:eastAsia="Times New Roman"/>
        </w:rPr>
        <w:t xml:space="preserve"> safety, permanency, and well-being for families and children, focusing, in part, on using family involvement and engaging families as partners in developing their own case plans; recruiting and working with families in developing peer support services; and empowering </w:t>
      </w:r>
      <w:r w:rsidRPr="008A2814">
        <w:rPr>
          <w:rFonts w:eastAsia="Times New Roman"/>
        </w:rPr>
        <w:lastRenderedPageBreak/>
        <w:t>families to participate in decision-making and apply their experience as service recipients to system change activities.</w:t>
      </w:r>
      <w:r w:rsidRPr="008A2814">
        <w:rPr>
          <w:rFonts w:eastAsia="Times New Roman"/>
          <w:i/>
        </w:rPr>
        <w:t xml:space="preserve"> </w:t>
      </w:r>
    </w:p>
    <w:p w:rsidR="008A2814" w:rsidRPr="008A2814" w:rsidRDefault="009041D8" w:rsidP="008A2814">
      <w:pPr>
        <w:pStyle w:val="ListParagraph"/>
        <w:numPr>
          <w:ilvl w:val="2"/>
          <w:numId w:val="1"/>
        </w:numPr>
        <w:rPr>
          <w:rFonts w:ascii="Times New Roman" w:eastAsia="Times New Roman" w:hAnsi="Times New Roman"/>
          <w:sz w:val="24"/>
          <w:szCs w:val="24"/>
        </w:rPr>
      </w:pPr>
      <w:r w:rsidRPr="009041D8">
        <w:rPr>
          <w:rFonts w:eastAsia="Times New Roman"/>
          <w:i/>
        </w:rPr>
        <w:t xml:space="preserve">The </w:t>
      </w:r>
      <w:r w:rsidR="008A2814" w:rsidRPr="009041D8">
        <w:rPr>
          <w:rFonts w:eastAsia="Times New Roman"/>
          <w:i/>
        </w:rPr>
        <w:t>Family Resource Information, Education, and Network Development Service (FRIENDS) N</w:t>
      </w:r>
      <w:r>
        <w:rPr>
          <w:rFonts w:eastAsia="Times New Roman"/>
          <w:i/>
        </w:rPr>
        <w:t xml:space="preserve">ational Resource Center </w:t>
      </w:r>
      <w:r w:rsidR="008A2814" w:rsidRPr="008A2814">
        <w:rPr>
          <w:rFonts w:eastAsia="Times New Roman"/>
        </w:rPr>
        <w:t xml:space="preserve">has established a Parent Advisory Council to provide overall program direction and guidance to Center. </w:t>
      </w:r>
    </w:p>
    <w:p w:rsidR="008A2814" w:rsidRPr="008A2814" w:rsidRDefault="008A2814" w:rsidP="008A2814">
      <w:pPr>
        <w:pStyle w:val="ListParagraph"/>
        <w:numPr>
          <w:ilvl w:val="2"/>
          <w:numId w:val="1"/>
        </w:numPr>
        <w:rPr>
          <w:rFonts w:eastAsia="Times New Roman"/>
          <w:i/>
        </w:rPr>
      </w:pPr>
      <w:r w:rsidRPr="008A2814">
        <w:rPr>
          <w:rFonts w:eastAsia="Times New Roman"/>
          <w:i/>
        </w:rPr>
        <w:t>National Quality Improvement Center on Non-Resident Fathers</w:t>
      </w:r>
      <w:r w:rsidR="009041D8">
        <w:rPr>
          <w:rFonts w:eastAsia="Times New Roman"/>
        </w:rPr>
        <w:t>, which involves</w:t>
      </w:r>
      <w:r w:rsidRPr="008A2814">
        <w:rPr>
          <w:rFonts w:eastAsia="Times New Roman"/>
        </w:rPr>
        <w:t xml:space="preserve"> non-resident fathers in their children's cases improving child welfare</w:t>
      </w:r>
      <w:r w:rsidR="009041D8">
        <w:rPr>
          <w:rFonts w:eastAsia="Times New Roman"/>
        </w:rPr>
        <w:t xml:space="preserve"> outcomes</w:t>
      </w:r>
      <w:r w:rsidRPr="008A2814">
        <w:rPr>
          <w:rFonts w:eastAsia="Times New Roman"/>
        </w:rPr>
        <w:t>.</w:t>
      </w:r>
    </w:p>
    <w:p w:rsidR="00FA497B" w:rsidRDefault="00FA497B" w:rsidP="00FA497B">
      <w:pPr>
        <w:autoSpaceDE w:val="0"/>
        <w:autoSpaceDN w:val="0"/>
        <w:rPr>
          <w:rFonts w:ascii="Georgia" w:hAnsi="Georgia"/>
          <w:i/>
          <w:iCs/>
          <w:sz w:val="28"/>
          <w:szCs w:val="28"/>
        </w:rPr>
      </w:pPr>
      <w:r>
        <w:rPr>
          <w:rFonts w:ascii="Georgia" w:hAnsi="Georgia"/>
          <w:i/>
          <w:iCs/>
          <w:sz w:val="28"/>
          <w:szCs w:val="28"/>
        </w:rPr>
        <w:t>III. Supporting families to become more effective external advocates and assisting them in having their voice heard in improving policies and practices involving the engagement of families.</w:t>
      </w:r>
    </w:p>
    <w:p w:rsidR="00B06671" w:rsidRDefault="00B06671" w:rsidP="00FA497B">
      <w:pPr>
        <w:autoSpaceDE w:val="0"/>
        <w:autoSpaceDN w:val="0"/>
        <w:rPr>
          <w:rFonts w:ascii="Georgia" w:hAnsi="Georgia"/>
          <w:color w:val="1F497D"/>
          <w:sz w:val="28"/>
          <w:szCs w:val="28"/>
        </w:rPr>
      </w:pPr>
    </w:p>
    <w:p w:rsidR="00F71B17" w:rsidRDefault="00F84A71" w:rsidP="00F71B17">
      <w:pPr>
        <w:pStyle w:val="ListParagraph"/>
        <w:numPr>
          <w:ilvl w:val="0"/>
          <w:numId w:val="1"/>
        </w:numPr>
        <w:tabs>
          <w:tab w:val="clear" w:pos="810"/>
          <w:tab w:val="num" w:pos="720"/>
        </w:tabs>
        <w:spacing w:line="240" w:lineRule="auto"/>
        <w:ind w:left="720"/>
      </w:pPr>
      <w:r>
        <w:t xml:space="preserve">Children’s Mental Health Initiative </w:t>
      </w:r>
      <w:r w:rsidR="00916F00">
        <w:t xml:space="preserve">System of Care </w:t>
      </w:r>
      <w:r w:rsidR="00862614">
        <w:t xml:space="preserve">(SOC) </w:t>
      </w:r>
      <w:r w:rsidR="00916F00">
        <w:t xml:space="preserve">grants require youth and families </w:t>
      </w:r>
      <w:r>
        <w:t xml:space="preserve">to </w:t>
      </w:r>
      <w:r w:rsidR="00916F00">
        <w:t xml:space="preserve">have significant input into the developing children’s mental health system. </w:t>
      </w:r>
      <w:r>
        <w:t>R</w:t>
      </w:r>
      <w:r w:rsidR="00916F00">
        <w:t>equirements include hiring a Lead Family Contact and a Youth Engagement Specialist</w:t>
      </w:r>
      <w:r>
        <w:t xml:space="preserve"> to</w:t>
      </w:r>
      <w:r w:rsidR="00916F00">
        <w:t xml:space="preserve"> contribute </w:t>
      </w:r>
      <w:r>
        <w:t>management</w:t>
      </w:r>
      <w:r w:rsidR="00916F00">
        <w:t xml:space="preserve">. </w:t>
      </w:r>
      <w:r w:rsidR="00862614">
        <w:t>SCO grantees also</w:t>
      </w:r>
      <w:r w:rsidR="00916F00">
        <w:t xml:space="preserve"> are required to have a governance structure </w:t>
      </w:r>
      <w:r w:rsidR="00862614">
        <w:t>that includes</w:t>
      </w:r>
      <w:r w:rsidR="00916F00">
        <w:t xml:space="preserve"> family and youth members</w:t>
      </w:r>
      <w:r w:rsidR="00862614">
        <w:t xml:space="preserve"> and</w:t>
      </w:r>
      <w:r w:rsidR="00916F00">
        <w:t xml:space="preserve"> are encouraged to </w:t>
      </w:r>
      <w:r w:rsidR="00862614">
        <w:t>make</w:t>
      </w:r>
      <w:r w:rsidR="00916F00">
        <w:t xml:space="preserve"> their governance board at least 51% families and youth. </w:t>
      </w:r>
      <w:r w:rsidR="00862614">
        <w:t>Communities</w:t>
      </w:r>
      <w:r w:rsidR="00916F00">
        <w:t xml:space="preserve"> have achieved different levels of success</w:t>
      </w:r>
      <w:r w:rsidR="00862614">
        <w:t xml:space="preserve">; but </w:t>
      </w:r>
      <w:r w:rsidR="00916F00">
        <w:t>all governance structures have youth and family voice.</w:t>
      </w:r>
    </w:p>
    <w:p w:rsidR="00F71B17" w:rsidRDefault="00F71B17" w:rsidP="00F71B17">
      <w:pPr>
        <w:pStyle w:val="ListParagraph"/>
        <w:spacing w:line="240" w:lineRule="auto"/>
      </w:pPr>
    </w:p>
    <w:p w:rsidR="00F71B17" w:rsidRDefault="005861D0" w:rsidP="00F71B17">
      <w:pPr>
        <w:pStyle w:val="ListParagraph"/>
        <w:numPr>
          <w:ilvl w:val="0"/>
          <w:numId w:val="1"/>
        </w:numPr>
        <w:tabs>
          <w:tab w:val="clear" w:pos="810"/>
          <w:tab w:val="num" w:pos="720"/>
        </w:tabs>
        <w:spacing w:line="240" w:lineRule="auto"/>
        <w:ind w:left="720"/>
      </w:pPr>
      <w:r w:rsidRPr="00BE424D">
        <w:t>SAMHSA supports Statewide Consumer and Family Networks along with a TA Center. These dollars support having consumers and family members involved in state level policy a</w:t>
      </w:r>
      <w:r w:rsidR="00F71B17">
        <w:t>nd decision-making activities.</w:t>
      </w:r>
    </w:p>
    <w:p w:rsidR="00F71B17" w:rsidRPr="00F71B17" w:rsidRDefault="00F71B17" w:rsidP="00F71B17">
      <w:pPr>
        <w:pStyle w:val="ListParagraph"/>
        <w:rPr>
          <w:rFonts w:eastAsia="Calibri"/>
        </w:rPr>
      </w:pPr>
    </w:p>
    <w:p w:rsidR="00F71B17" w:rsidRDefault="00936ED7" w:rsidP="00F71B17">
      <w:pPr>
        <w:pStyle w:val="ListParagraph"/>
        <w:numPr>
          <w:ilvl w:val="0"/>
          <w:numId w:val="1"/>
        </w:numPr>
        <w:tabs>
          <w:tab w:val="clear" w:pos="810"/>
          <w:tab w:val="num" w:pos="720"/>
        </w:tabs>
        <w:spacing w:line="240" w:lineRule="auto"/>
        <w:ind w:left="720"/>
      </w:pPr>
      <w:r w:rsidRPr="00F71B17">
        <w:rPr>
          <w:rFonts w:eastAsia="Calibri"/>
        </w:rPr>
        <w:t xml:space="preserve">SAMHSA’s Technical Assistance Partnership employs two youth involvement content specialists who work directly with systems of care; have affinity calls, and sponsor youth tracks at national meetings.  The TA Partnership also employs two family involvement content specialists and leads a </w:t>
      </w:r>
      <w:r w:rsidRPr="00D571A1">
        <w:t xml:space="preserve">family community of practice. </w:t>
      </w:r>
      <w:r w:rsidR="0068164C" w:rsidRPr="00F71B17">
        <w:rPr>
          <w:rFonts w:eastAsia="Calibri"/>
        </w:rPr>
        <w:t>The TA Partnership has also established</w:t>
      </w:r>
      <w:r w:rsidRPr="00F71B17">
        <w:rPr>
          <w:rFonts w:eastAsia="Calibri"/>
        </w:rPr>
        <w:t xml:space="preserve"> a community of practice for youth in transition and families. [Variety of products produced including,</w:t>
      </w:r>
      <w:r w:rsidRPr="00F71B17">
        <w:rPr>
          <w:rFonts w:eastAsia="Calibri"/>
          <w:i/>
        </w:rPr>
        <w:t xml:space="preserve"> Integrating "Youth Guided" and "Cultural Linguistic Competence" Values into Systems of Care; </w:t>
      </w:r>
      <w:hyperlink r:id="rId9" w:tgtFrame="_blank" w:tooltip="PDF" w:history="1">
        <w:r w:rsidRPr="00F71B17">
          <w:rPr>
            <w:rFonts w:eastAsia="Times New Roman"/>
            <w:i/>
          </w:rPr>
          <w:t>Youth Adult Partnerships in Systems of Care</w:t>
        </w:r>
      </w:hyperlink>
      <w:r>
        <w:t xml:space="preserve">; </w:t>
      </w:r>
      <w:hyperlink r:id="rId10" w:tgtFrame="_blank" w:tooltip="PDF" w:history="1">
        <w:r w:rsidRPr="00F71B17">
          <w:rPr>
            <w:rFonts w:eastAsia="Times New Roman"/>
            <w:i/>
          </w:rPr>
          <w:t>A Youth Guide to Treatment and Treatment Planning</w:t>
        </w:r>
      </w:hyperlink>
      <w:r>
        <w:t>.]</w:t>
      </w:r>
    </w:p>
    <w:p w:rsidR="00F71B17" w:rsidRPr="00F71B17" w:rsidRDefault="00F71B17" w:rsidP="00F71B17">
      <w:pPr>
        <w:pStyle w:val="ListParagraph"/>
        <w:rPr>
          <w:rStyle w:val="Heading1Char"/>
          <w:rFonts w:asciiTheme="minorHAnsi" w:hAnsiTheme="minorHAnsi"/>
          <w:b w:val="0"/>
          <w:sz w:val="22"/>
          <w:szCs w:val="22"/>
        </w:rPr>
      </w:pPr>
    </w:p>
    <w:p w:rsidR="00F71B17" w:rsidRPr="00F71B17" w:rsidRDefault="00594315" w:rsidP="00F71B17">
      <w:pPr>
        <w:pStyle w:val="ListParagraph"/>
        <w:numPr>
          <w:ilvl w:val="0"/>
          <w:numId w:val="1"/>
        </w:numPr>
        <w:tabs>
          <w:tab w:val="clear" w:pos="810"/>
          <w:tab w:val="num" w:pos="720"/>
        </w:tabs>
        <w:spacing w:line="240" w:lineRule="auto"/>
        <w:ind w:left="720"/>
      </w:pPr>
      <w:r w:rsidRPr="00F71B17">
        <w:rPr>
          <w:rStyle w:val="Heading1Char"/>
          <w:rFonts w:asciiTheme="minorHAnsi" w:hAnsiTheme="minorHAnsi"/>
          <w:b w:val="0"/>
          <w:sz w:val="22"/>
          <w:szCs w:val="22"/>
        </w:rPr>
        <w:t>SAMHSA funds</w:t>
      </w:r>
      <w:r w:rsidR="00673E4B" w:rsidRPr="00F71B17">
        <w:rPr>
          <w:rStyle w:val="Heading1Char"/>
          <w:rFonts w:asciiTheme="minorHAnsi" w:hAnsiTheme="minorHAnsi"/>
          <w:b w:val="0"/>
          <w:sz w:val="22"/>
          <w:szCs w:val="22"/>
        </w:rPr>
        <w:t xml:space="preserve"> </w:t>
      </w:r>
      <w:r w:rsidR="00673E4B" w:rsidRPr="00F71B17">
        <w:rPr>
          <w:rStyle w:val="Heading1Char"/>
          <w:rFonts w:asciiTheme="minorHAnsi" w:hAnsiTheme="minorHAnsi"/>
          <w:b w:val="0"/>
          <w:sz w:val="22"/>
          <w:szCs w:val="22"/>
          <w:u w:val="single"/>
        </w:rPr>
        <w:t>Youth M.O.V.E.</w:t>
      </w:r>
      <w:r w:rsidR="00673E4B" w:rsidRPr="00F71B17">
        <w:rPr>
          <w:rFonts w:eastAsia="Times New Roman" w:cs="Arial"/>
          <w:i/>
        </w:rPr>
        <w:t xml:space="preserve"> (</w:t>
      </w:r>
      <w:r w:rsidR="00862614" w:rsidRPr="00F71B17">
        <w:rPr>
          <w:rFonts w:eastAsia="Times New Roman" w:cs="Arial"/>
        </w:rPr>
        <w:t xml:space="preserve">Youthmovenational.org), </w:t>
      </w:r>
      <w:r w:rsidR="00673E4B" w:rsidRPr="00F71B17">
        <w:rPr>
          <w:rFonts w:eastAsia="Times New Roman" w:cs="Arial"/>
        </w:rPr>
        <w:t xml:space="preserve">a youth led national organization devoted to improving services and systems </w:t>
      </w:r>
      <w:r w:rsidR="00862614" w:rsidRPr="00F71B17">
        <w:rPr>
          <w:rFonts w:eastAsia="Times New Roman" w:cs="Arial"/>
        </w:rPr>
        <w:t>in support of</w:t>
      </w:r>
      <w:r w:rsidR="00673E4B" w:rsidRPr="00F71B17">
        <w:rPr>
          <w:rFonts w:eastAsia="Times New Roman" w:cs="Arial"/>
        </w:rPr>
        <w:t xml:space="preserve"> positive growth and development by uniting the voices of individuals who have experience in various systems including mental health, juvenile justice, education, and child welfare.</w:t>
      </w:r>
    </w:p>
    <w:p w:rsidR="00F71B17" w:rsidRDefault="00F71B17" w:rsidP="00F71B17">
      <w:pPr>
        <w:pStyle w:val="ListParagraph"/>
      </w:pPr>
    </w:p>
    <w:p w:rsidR="00F71B17" w:rsidRDefault="00923C22" w:rsidP="00F71B17">
      <w:pPr>
        <w:pStyle w:val="ListParagraph"/>
        <w:numPr>
          <w:ilvl w:val="0"/>
          <w:numId w:val="1"/>
        </w:numPr>
        <w:tabs>
          <w:tab w:val="clear" w:pos="810"/>
          <w:tab w:val="num" w:pos="720"/>
        </w:tabs>
        <w:spacing w:line="240" w:lineRule="auto"/>
        <w:ind w:left="720"/>
      </w:pPr>
      <w:r>
        <w:t xml:space="preserve">ED’s </w:t>
      </w:r>
      <w:r w:rsidRPr="00923C22">
        <w:t xml:space="preserve">Title I, Part D “Neglected or Delinquent” education program </w:t>
      </w:r>
      <w:r w:rsidR="00862614">
        <w:t>through</w:t>
      </w:r>
      <w:r w:rsidRPr="00923C22">
        <w:t xml:space="preserve"> its technical assistance contractor, NDTAC at American Institutes for Research, </w:t>
      </w:r>
      <w:r w:rsidR="0041458F">
        <w:t>ED</w:t>
      </w:r>
      <w:r w:rsidRPr="00923C22">
        <w:t xml:space="preserve"> </w:t>
      </w:r>
      <w:r w:rsidR="00862614">
        <w:t>is finalizing a</w:t>
      </w:r>
      <w:r w:rsidRPr="00923C22">
        <w:t xml:space="preserve"> “family-friendly” guide to family, youth and community engagement in juveni</w:t>
      </w:r>
      <w:r w:rsidR="00862614">
        <w:t>le justice educational settings</w:t>
      </w:r>
      <w:r>
        <w:t>.</w:t>
      </w:r>
    </w:p>
    <w:p w:rsidR="00F71B17" w:rsidRDefault="00F71B17" w:rsidP="00F71B17">
      <w:pPr>
        <w:pStyle w:val="ListParagraph"/>
      </w:pPr>
    </w:p>
    <w:p w:rsidR="00FA497B" w:rsidRPr="00B06671" w:rsidRDefault="007B59A6" w:rsidP="00FA497B">
      <w:pPr>
        <w:pStyle w:val="ListParagraph"/>
        <w:numPr>
          <w:ilvl w:val="0"/>
          <w:numId w:val="1"/>
        </w:numPr>
        <w:tabs>
          <w:tab w:val="clear" w:pos="810"/>
          <w:tab w:val="num" w:pos="720"/>
        </w:tabs>
        <w:ind w:left="720"/>
        <w:rPr>
          <w:rFonts w:ascii="Georgia" w:hAnsi="Georgia"/>
          <w:color w:val="1F497D"/>
          <w:sz w:val="24"/>
          <w:szCs w:val="24"/>
        </w:rPr>
      </w:pPr>
      <w:r w:rsidRPr="00B23C45">
        <w:t>The</w:t>
      </w:r>
      <w:r w:rsidR="00E25BB2">
        <w:t xml:space="preserve"> Children’s Bureau</w:t>
      </w:r>
      <w:r w:rsidRPr="00B23C45">
        <w:t xml:space="preserve"> Child and Family Services Reviews (CFSR)</w:t>
      </w:r>
      <w:r w:rsidRPr="00B06671">
        <w:rPr>
          <w:i/>
        </w:rPr>
        <w:t xml:space="preserve"> </w:t>
      </w:r>
      <w:r w:rsidR="00E25BB2">
        <w:t>establish</w:t>
      </w:r>
      <w:r>
        <w:t xml:space="preserve"> expectations that promote family and youth engagement in the casework process.  During the review, a sample of cases are assessed to ensure that States develop case plans jointly with parents and children, </w:t>
      </w:r>
      <w:r>
        <w:lastRenderedPageBreak/>
        <w:t>have monthly caseworker contacts with parents and children that promote achievement of case goals, and assess the needs of families and provide services to meet those needs.</w:t>
      </w:r>
    </w:p>
    <w:p w:rsidR="00FA497B" w:rsidRDefault="00FA497B" w:rsidP="00FA497B">
      <w:pPr>
        <w:rPr>
          <w:rFonts w:ascii="Georgia" w:hAnsi="Georgia"/>
          <w:i/>
          <w:sz w:val="28"/>
          <w:szCs w:val="28"/>
        </w:rPr>
      </w:pPr>
      <w:r w:rsidRPr="002C44FE">
        <w:rPr>
          <w:rFonts w:ascii="Georgia" w:hAnsi="Georgia"/>
          <w:i/>
          <w:sz w:val="28"/>
          <w:szCs w:val="28"/>
        </w:rPr>
        <w:t xml:space="preserve">IV.  </w:t>
      </w:r>
      <w:r w:rsidR="00C82230">
        <w:rPr>
          <w:rFonts w:ascii="Georgia" w:hAnsi="Georgia"/>
          <w:i/>
          <w:sz w:val="28"/>
          <w:szCs w:val="28"/>
        </w:rPr>
        <w:t xml:space="preserve">Raising Awareness and Informing Work through Research and Listening </w:t>
      </w:r>
      <w:r w:rsidR="005861D0" w:rsidRPr="002C44FE">
        <w:rPr>
          <w:rFonts w:ascii="Georgia" w:hAnsi="Georgia"/>
          <w:i/>
          <w:sz w:val="28"/>
          <w:szCs w:val="28"/>
        </w:rPr>
        <w:t>Sessions</w:t>
      </w:r>
    </w:p>
    <w:p w:rsidR="00C82230" w:rsidRDefault="00C82230" w:rsidP="00FA497B">
      <w:pPr>
        <w:rPr>
          <w:rFonts w:ascii="Georgia" w:hAnsi="Georgia"/>
          <w:i/>
          <w:sz w:val="28"/>
          <w:szCs w:val="28"/>
        </w:rPr>
      </w:pPr>
    </w:p>
    <w:p w:rsidR="00C82230" w:rsidRPr="00C82230" w:rsidRDefault="00C82230" w:rsidP="00F71B17">
      <w:pPr>
        <w:pStyle w:val="ListParagraph"/>
        <w:numPr>
          <w:ilvl w:val="0"/>
          <w:numId w:val="1"/>
        </w:numPr>
        <w:tabs>
          <w:tab w:val="clear" w:pos="810"/>
        </w:tabs>
        <w:spacing w:line="240" w:lineRule="auto"/>
        <w:ind w:left="720"/>
      </w:pPr>
      <w:r>
        <w:rPr>
          <w:iCs/>
        </w:rPr>
        <w:t>The three Departments raise awareness about the value of family/youth engagement:</w:t>
      </w:r>
    </w:p>
    <w:p w:rsidR="00C82230" w:rsidRPr="00C82230" w:rsidRDefault="00C82230" w:rsidP="00C82230">
      <w:pPr>
        <w:pStyle w:val="ListParagraph"/>
        <w:numPr>
          <w:ilvl w:val="1"/>
          <w:numId w:val="1"/>
        </w:numPr>
        <w:spacing w:line="240" w:lineRule="auto"/>
      </w:pPr>
      <w:r w:rsidRPr="00C82230">
        <w:rPr>
          <w:iCs/>
        </w:rPr>
        <w:t xml:space="preserve">Education’s Office of Innovation and Improvement, in partnership with United Way Worldwide, the National PTA, the Southwest Education Development Lab, and the Harvard Family Research Project, sponsored the </w:t>
      </w:r>
      <w:r w:rsidRPr="00C82230">
        <w:rPr>
          <w:b/>
          <w:i/>
          <w:iCs/>
        </w:rPr>
        <w:t>Achieving Excellence and Innovation in Family, School, and Community Engagement Webinar Series</w:t>
      </w:r>
      <w:r w:rsidRPr="00C82230">
        <w:rPr>
          <w:iCs/>
        </w:rPr>
        <w:t xml:space="preserve"> </w:t>
      </w:r>
      <w:r w:rsidR="00482497">
        <w:rPr>
          <w:iCs/>
        </w:rPr>
        <w:t>to inform</w:t>
      </w:r>
      <w:r w:rsidRPr="00C82230">
        <w:rPr>
          <w:iCs/>
        </w:rPr>
        <w:t xml:space="preserve"> stakeholders about research on family, school, and community engagement, best practices, and innovations in school improvement and student learning. The series archives can be found at </w:t>
      </w:r>
      <w:hyperlink r:id="rId11" w:history="1">
        <w:r w:rsidRPr="00C82230">
          <w:rPr>
            <w:rStyle w:val="Hyperlink"/>
            <w:iCs/>
          </w:rPr>
          <w:t>http://www.nationalpirc.org/engagement_webinars/</w:t>
        </w:r>
      </w:hyperlink>
      <w:r w:rsidRPr="00C82230">
        <w:rPr>
          <w:iCs/>
        </w:rPr>
        <w:t>.</w:t>
      </w:r>
    </w:p>
    <w:p w:rsidR="00B06671" w:rsidRDefault="00C82230" w:rsidP="00B06671">
      <w:pPr>
        <w:pStyle w:val="ListParagraph"/>
        <w:numPr>
          <w:ilvl w:val="1"/>
          <w:numId w:val="1"/>
        </w:numPr>
        <w:spacing w:line="240" w:lineRule="auto"/>
      </w:pPr>
      <w:r>
        <w:t xml:space="preserve">The three Departments </w:t>
      </w:r>
      <w:r w:rsidR="00482497">
        <w:t>worked together to organize</w:t>
      </w:r>
      <w:r>
        <w:t xml:space="preserve"> the May 2012 meeting of the Coordinating Council to update member agencies on federal action related to family and you</w:t>
      </w:r>
      <w:r w:rsidR="00B06671">
        <w:t>th engagement and partnership.</w:t>
      </w:r>
    </w:p>
    <w:p w:rsidR="00B06671" w:rsidRDefault="00B06671" w:rsidP="00B06671">
      <w:pPr>
        <w:pStyle w:val="ListParagraph"/>
        <w:spacing w:line="240" w:lineRule="auto"/>
        <w:ind w:left="810"/>
      </w:pPr>
    </w:p>
    <w:p w:rsidR="00C82230" w:rsidRDefault="005861D0" w:rsidP="00B06671">
      <w:pPr>
        <w:pStyle w:val="ListParagraph"/>
        <w:numPr>
          <w:ilvl w:val="0"/>
          <w:numId w:val="1"/>
        </w:numPr>
        <w:tabs>
          <w:tab w:val="clear" w:pos="810"/>
          <w:tab w:val="num" w:pos="720"/>
        </w:tabs>
        <w:spacing w:line="240" w:lineRule="auto"/>
        <w:ind w:left="720"/>
      </w:pPr>
      <w:r>
        <w:t xml:space="preserve">The three </w:t>
      </w:r>
      <w:r w:rsidR="00C82230">
        <w:t>Departments</w:t>
      </w:r>
      <w:r>
        <w:t xml:space="preserve"> </w:t>
      </w:r>
      <w:r w:rsidR="00C82230">
        <w:t>regularly convene listening sessions to inform their work:</w:t>
      </w:r>
    </w:p>
    <w:p w:rsidR="005861D0" w:rsidRDefault="00C82230" w:rsidP="00C82230">
      <w:pPr>
        <w:numPr>
          <w:ilvl w:val="1"/>
          <w:numId w:val="1"/>
        </w:numPr>
      </w:pPr>
      <w:r>
        <w:t xml:space="preserve">The three Departments </w:t>
      </w:r>
      <w:r w:rsidR="005861D0">
        <w:t>collaborated on the first-ever federal Lesbian, Gay, Bi Sexual and Transgendered Youth Summit last year, which involved LGBT youth.</w:t>
      </w:r>
    </w:p>
    <w:p w:rsidR="005861D0" w:rsidRDefault="005861D0" w:rsidP="00C82230">
      <w:pPr>
        <w:numPr>
          <w:ilvl w:val="1"/>
          <w:numId w:val="1"/>
        </w:numPr>
      </w:pPr>
      <w:r>
        <w:t xml:space="preserve">OJJDP partnered with the Campaign for Youth Justice </w:t>
      </w:r>
      <w:r w:rsidR="00482497">
        <w:t>to hold</w:t>
      </w:r>
      <w:r>
        <w:t xml:space="preserve"> four listening sessions with families of and youth involved with the JJ system.</w:t>
      </w:r>
    </w:p>
    <w:p w:rsidR="005861D0" w:rsidRDefault="005861D0" w:rsidP="00C82230">
      <w:pPr>
        <w:numPr>
          <w:ilvl w:val="1"/>
          <w:numId w:val="1"/>
        </w:numPr>
      </w:pPr>
      <w:r>
        <w:t>OJJDP held youth listening sessions in 2010 and 2011 to inform the Tribal Youth Program and the work of the Coordinating Council Issue Teams.</w:t>
      </w:r>
    </w:p>
    <w:p w:rsidR="005861D0" w:rsidRDefault="005861D0" w:rsidP="00C82230">
      <w:pPr>
        <w:numPr>
          <w:ilvl w:val="1"/>
          <w:numId w:val="1"/>
        </w:numPr>
      </w:pPr>
      <w:r>
        <w:t>OJJDP continues to hear from families and youth in signature initiatives such as the Defending Childhood Initiative and the ED-DOJ school discipline initiative.</w:t>
      </w:r>
    </w:p>
    <w:p w:rsidR="00916F00" w:rsidRDefault="005861D0" w:rsidP="00916F00">
      <w:pPr>
        <w:numPr>
          <w:ilvl w:val="1"/>
          <w:numId w:val="1"/>
        </w:numPr>
      </w:pPr>
      <w:r>
        <w:t>Education’s</w:t>
      </w:r>
      <w:r w:rsidRPr="00923C22">
        <w:t xml:space="preserve"> Office of Communications and Outreach </w:t>
      </w:r>
      <w:r w:rsidR="00C82230">
        <w:t>conducted</w:t>
      </w:r>
      <w:r w:rsidRPr="00923C22">
        <w:t xml:space="preserve"> a National Youth Listening Tour in various cities with “Student Voices” sessions with Secreta</w:t>
      </w:r>
      <w:r w:rsidR="00446F66">
        <w:t xml:space="preserve">ry Duncan and senior staff. Another </w:t>
      </w:r>
      <w:r w:rsidR="00482497">
        <w:t xml:space="preserve">listening tour </w:t>
      </w:r>
      <w:r w:rsidRPr="00923C22">
        <w:t>for youth who have been in contact with the juvenile justice system, and their family members and community advocates, is propo</w:t>
      </w:r>
      <w:r w:rsidR="00D164D7">
        <w:t>sed for s</w:t>
      </w:r>
      <w:r w:rsidRPr="00923C22">
        <w:t>ummer 2012.</w:t>
      </w:r>
    </w:p>
    <w:p w:rsidR="00916F00" w:rsidRDefault="00916F00" w:rsidP="00916F00">
      <w:pPr>
        <w:pStyle w:val="ListParagraph"/>
        <w:rPr>
          <w:rFonts w:eastAsia="Times New Roman"/>
        </w:rPr>
      </w:pPr>
    </w:p>
    <w:p w:rsidR="000778AB" w:rsidRPr="000778AB" w:rsidRDefault="000778AB" w:rsidP="000778AB">
      <w:pPr>
        <w:pStyle w:val="ListParagraph"/>
        <w:numPr>
          <w:ilvl w:val="0"/>
          <w:numId w:val="9"/>
        </w:numPr>
        <w:rPr>
          <w:rFonts w:eastAsia="Times New Roman"/>
        </w:rPr>
      </w:pPr>
      <w:r w:rsidRPr="000778AB">
        <w:rPr>
          <w:rFonts w:eastAsia="Times New Roman"/>
        </w:rPr>
        <w:t>The Children’s Bureau awards discretionary grants for research and program development to State and local agencies, Tribes, faith-based and community-based organizations, and other non-profit and for-profit groups</w:t>
      </w:r>
      <w:r w:rsidR="005105BF">
        <w:rPr>
          <w:rFonts w:eastAsia="Times New Roman"/>
        </w:rPr>
        <w:t xml:space="preserve"> that include:</w:t>
      </w:r>
      <w:r w:rsidRPr="000778AB">
        <w:rPr>
          <w:rFonts w:eastAsia="Times New Roman"/>
        </w:rPr>
        <w:t xml:space="preserve"> </w:t>
      </w:r>
    </w:p>
    <w:p w:rsidR="000316F3" w:rsidRPr="00D13ECA" w:rsidRDefault="000778AB" w:rsidP="000316F3">
      <w:pPr>
        <w:numPr>
          <w:ilvl w:val="0"/>
          <w:numId w:val="12"/>
        </w:numPr>
        <w:ind w:left="1440"/>
        <w:contextualSpacing/>
        <w:rPr>
          <w:rFonts w:eastAsia="Times New Roman"/>
        </w:rPr>
      </w:pPr>
      <w:r w:rsidRPr="00D13ECA">
        <w:rPr>
          <w:rFonts w:asciiTheme="minorHAnsi" w:eastAsia="Times New Roman" w:hAnsiTheme="minorHAnsi"/>
          <w:i/>
        </w:rPr>
        <w:t>Comprehensive Family Assessments to Improve Child Welfare Outcomes</w:t>
      </w:r>
      <w:r w:rsidR="00D13ECA" w:rsidRPr="00D13ECA">
        <w:rPr>
          <w:rFonts w:asciiTheme="minorHAnsi" w:eastAsia="Times New Roman" w:hAnsiTheme="minorHAnsi"/>
          <w:i/>
        </w:rPr>
        <w:t xml:space="preserve"> </w:t>
      </w:r>
      <w:r w:rsidR="00D13ECA" w:rsidRPr="00D13ECA">
        <w:rPr>
          <w:rFonts w:asciiTheme="minorHAnsi" w:eastAsia="Times New Roman" w:hAnsiTheme="minorHAnsi"/>
        </w:rPr>
        <w:t xml:space="preserve">and </w:t>
      </w:r>
      <w:r w:rsidR="000316F3" w:rsidRPr="00D13ECA">
        <w:rPr>
          <w:rFonts w:eastAsia="Times New Roman"/>
          <w:i/>
        </w:rPr>
        <w:t>National Yout</w:t>
      </w:r>
      <w:r w:rsidR="00D13ECA">
        <w:rPr>
          <w:rFonts w:eastAsia="Times New Roman"/>
          <w:i/>
        </w:rPr>
        <w:t>h in Transition Database (NYTD)</w:t>
      </w:r>
      <w:r w:rsidR="00D13ECA">
        <w:rPr>
          <w:rFonts w:eastAsia="Times New Roman"/>
        </w:rPr>
        <w:t>, which is a</w:t>
      </w:r>
      <w:r w:rsidR="000316F3" w:rsidRPr="00D13ECA">
        <w:rPr>
          <w:rFonts w:eastAsia="Times New Roman"/>
        </w:rPr>
        <w:t xml:space="preserve"> data collection system to track the independent living services States provide to youth and develop outcome measures </w:t>
      </w:r>
      <w:r w:rsidR="00D13ECA">
        <w:rPr>
          <w:rFonts w:eastAsia="Times New Roman"/>
        </w:rPr>
        <w:t>for program assessment</w:t>
      </w:r>
      <w:r w:rsidR="000316F3" w:rsidRPr="00D13ECA">
        <w:rPr>
          <w:rFonts w:eastAsia="Times New Roman"/>
        </w:rPr>
        <w:t xml:space="preserve">.  Cohorts of youth are asked at ages 17, 19, and 21 to report on their outcomes after leaving foster care.  As part of this work, States partnered youth with their </w:t>
      </w:r>
      <w:r w:rsidR="00D13ECA">
        <w:rPr>
          <w:rFonts w:eastAsia="Times New Roman"/>
        </w:rPr>
        <w:t xml:space="preserve">State </w:t>
      </w:r>
      <w:r w:rsidR="000316F3" w:rsidRPr="00D13ECA">
        <w:rPr>
          <w:rFonts w:eastAsia="Times New Roman"/>
        </w:rPr>
        <w:t>Ind</w:t>
      </w:r>
      <w:r w:rsidR="00D13ECA">
        <w:rPr>
          <w:rFonts w:eastAsia="Times New Roman"/>
        </w:rPr>
        <w:t>ependent Living Coordinator and</w:t>
      </w:r>
      <w:r w:rsidR="000316F3" w:rsidRPr="00D13ECA">
        <w:rPr>
          <w:rFonts w:eastAsia="Times New Roman"/>
        </w:rPr>
        <w:t xml:space="preserve"> Data Specialist.  The first data was collected in October 2010, and youth were first to </w:t>
      </w:r>
      <w:r w:rsidR="00D13ECA">
        <w:rPr>
          <w:rFonts w:eastAsia="Times New Roman"/>
        </w:rPr>
        <w:t xml:space="preserve">get results and provide </w:t>
      </w:r>
      <w:r w:rsidR="000316F3" w:rsidRPr="00D13ECA">
        <w:rPr>
          <w:rFonts w:eastAsia="Times New Roman"/>
        </w:rPr>
        <w:t>commentary</w:t>
      </w:r>
      <w:r w:rsidR="00D13ECA">
        <w:rPr>
          <w:rFonts w:eastAsia="Times New Roman"/>
        </w:rPr>
        <w:t xml:space="preserve">, which </w:t>
      </w:r>
      <w:r w:rsidR="000316F3" w:rsidRPr="00D13ECA">
        <w:rPr>
          <w:rFonts w:eastAsia="Times New Roman"/>
        </w:rPr>
        <w:t xml:space="preserve">was used to inform the meeting, which </w:t>
      </w:r>
      <w:r w:rsidR="00D13ECA">
        <w:rPr>
          <w:rFonts w:eastAsia="Times New Roman"/>
        </w:rPr>
        <w:t xml:space="preserve">was focused </w:t>
      </w:r>
      <w:r w:rsidR="000316F3" w:rsidRPr="00D13ECA">
        <w:rPr>
          <w:rFonts w:eastAsia="Times New Roman"/>
        </w:rPr>
        <w:t xml:space="preserve">on the youth-adult partnership model.  </w:t>
      </w:r>
    </w:p>
    <w:sectPr w:rsidR="000316F3" w:rsidRPr="00D13ECA" w:rsidSect="006278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17" w:rsidRDefault="00F71B17" w:rsidP="005861D0">
      <w:r>
        <w:separator/>
      </w:r>
    </w:p>
  </w:endnote>
  <w:endnote w:type="continuationSeparator" w:id="0">
    <w:p w:rsidR="00F71B17" w:rsidRDefault="00F71B17" w:rsidP="0058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17" w:rsidRDefault="00F71B17" w:rsidP="005861D0">
      <w:r>
        <w:separator/>
      </w:r>
    </w:p>
  </w:footnote>
  <w:footnote w:type="continuationSeparator" w:id="0">
    <w:p w:rsidR="00F71B17" w:rsidRDefault="00F71B17" w:rsidP="00586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BA5"/>
    <w:multiLevelType w:val="hybridMultilevel"/>
    <w:tmpl w:val="85B855E2"/>
    <w:lvl w:ilvl="0" w:tplc="1AE88F70">
      <w:start w:val="1"/>
      <w:numFmt w:val="bullet"/>
      <w:lvlText w:val=""/>
      <w:lvlJc w:val="left"/>
      <w:pPr>
        <w:ind w:left="360" w:hanging="360"/>
      </w:pPr>
      <w:rPr>
        <w:rFonts w:ascii="Symbol" w:hAnsi="Symbol" w:hint="default"/>
        <w:sz w:val="16"/>
      </w:rPr>
    </w:lvl>
    <w:lvl w:ilvl="1" w:tplc="57B6556A">
      <w:start w:val="1"/>
      <w:numFmt w:val="bullet"/>
      <w:lvlText w:val="o"/>
      <w:lvlJc w:val="left"/>
      <w:pPr>
        <w:ind w:left="1080" w:hanging="360"/>
      </w:pPr>
      <w:rPr>
        <w:rFonts w:ascii="Courier New" w:hAnsi="Courier New"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B05AD"/>
    <w:multiLevelType w:val="hybridMultilevel"/>
    <w:tmpl w:val="D6B21F28"/>
    <w:lvl w:ilvl="0" w:tplc="8F0E803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8A3FDC"/>
    <w:multiLevelType w:val="hybridMultilevel"/>
    <w:tmpl w:val="A5320A8C"/>
    <w:lvl w:ilvl="0" w:tplc="04090003">
      <w:start w:val="1"/>
      <w:numFmt w:val="bullet"/>
      <w:lvlText w:val="o"/>
      <w:lvlJc w:val="left"/>
      <w:pPr>
        <w:ind w:left="1800" w:hanging="360"/>
      </w:pPr>
      <w:rPr>
        <w:rFonts w:ascii="Courier New" w:hAnsi="Courier New" w:cs="Courier New" w:hint="default"/>
        <w:sz w:val="16"/>
      </w:rPr>
    </w:lvl>
    <w:lvl w:ilvl="1" w:tplc="C6AAE9E6">
      <w:start w:val="1"/>
      <w:numFmt w:val="bullet"/>
      <w:lvlText w:val="o"/>
      <w:lvlJc w:val="left"/>
      <w:pPr>
        <w:ind w:left="2520" w:hanging="360"/>
      </w:pPr>
      <w:rPr>
        <w:rFonts w:ascii="Courier New" w:hAnsi="Courier New" w:hint="default"/>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35F4A85"/>
    <w:multiLevelType w:val="hybridMultilevel"/>
    <w:tmpl w:val="31863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F0434"/>
    <w:multiLevelType w:val="hybridMultilevel"/>
    <w:tmpl w:val="C1D0D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A16069"/>
    <w:multiLevelType w:val="hybridMultilevel"/>
    <w:tmpl w:val="3016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B1F58"/>
    <w:multiLevelType w:val="hybridMultilevel"/>
    <w:tmpl w:val="C4244C76"/>
    <w:lvl w:ilvl="0" w:tplc="0409000B">
      <w:start w:val="1"/>
      <w:numFmt w:val="bullet"/>
      <w:lvlText w:val=""/>
      <w:lvlJc w:val="left"/>
      <w:pPr>
        <w:tabs>
          <w:tab w:val="num" w:pos="810"/>
        </w:tabs>
        <w:ind w:left="81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0B4F98"/>
    <w:multiLevelType w:val="hybridMultilevel"/>
    <w:tmpl w:val="5DFE6AD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293EE7"/>
    <w:multiLevelType w:val="multilevel"/>
    <w:tmpl w:val="06CE6B1C"/>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nsid w:val="655C49DD"/>
    <w:multiLevelType w:val="hybridMultilevel"/>
    <w:tmpl w:val="06AA084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B445E5"/>
    <w:multiLevelType w:val="hybridMultilevel"/>
    <w:tmpl w:val="B5E6D6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C357AA"/>
    <w:multiLevelType w:val="hybridMultilevel"/>
    <w:tmpl w:val="10C81676"/>
    <w:lvl w:ilvl="0" w:tplc="191CC812">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7"/>
  </w:num>
  <w:num w:numId="4">
    <w:abstractNumId w:val="11"/>
  </w:num>
  <w:num w:numId="5">
    <w:abstractNumId w:val="1"/>
  </w:num>
  <w:num w:numId="6">
    <w:abstractNumId w:val="10"/>
  </w:num>
  <w:num w:numId="7">
    <w:abstractNumId w:val="9"/>
  </w:num>
  <w:num w:numId="8">
    <w:abstractNumId w:val="0"/>
  </w:num>
  <w:num w:numId="9">
    <w:abstractNumId w:val="3"/>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1242"/>
    <w:rsid w:val="000316F3"/>
    <w:rsid w:val="00061242"/>
    <w:rsid w:val="000778AB"/>
    <w:rsid w:val="001000B6"/>
    <w:rsid w:val="001A1E06"/>
    <w:rsid w:val="00231A6E"/>
    <w:rsid w:val="002552C9"/>
    <w:rsid w:val="002C44FE"/>
    <w:rsid w:val="002D3CBC"/>
    <w:rsid w:val="002F2658"/>
    <w:rsid w:val="00323B87"/>
    <w:rsid w:val="00333C41"/>
    <w:rsid w:val="00364BA0"/>
    <w:rsid w:val="003838A5"/>
    <w:rsid w:val="00383A13"/>
    <w:rsid w:val="0040238E"/>
    <w:rsid w:val="00402B6E"/>
    <w:rsid w:val="0041458F"/>
    <w:rsid w:val="00436380"/>
    <w:rsid w:val="00437725"/>
    <w:rsid w:val="00446F66"/>
    <w:rsid w:val="004558C1"/>
    <w:rsid w:val="004808AC"/>
    <w:rsid w:val="00482497"/>
    <w:rsid w:val="005105BF"/>
    <w:rsid w:val="0053020F"/>
    <w:rsid w:val="005861D0"/>
    <w:rsid w:val="00593B18"/>
    <w:rsid w:val="00594315"/>
    <w:rsid w:val="006278DE"/>
    <w:rsid w:val="00673E4B"/>
    <w:rsid w:val="0068164C"/>
    <w:rsid w:val="006D3407"/>
    <w:rsid w:val="00732A4A"/>
    <w:rsid w:val="00755095"/>
    <w:rsid w:val="007B59A6"/>
    <w:rsid w:val="007C1384"/>
    <w:rsid w:val="00862614"/>
    <w:rsid w:val="00891A0B"/>
    <w:rsid w:val="008948C4"/>
    <w:rsid w:val="008A2814"/>
    <w:rsid w:val="008D5C43"/>
    <w:rsid w:val="009041D8"/>
    <w:rsid w:val="00916F00"/>
    <w:rsid w:val="00923C22"/>
    <w:rsid w:val="00936ED7"/>
    <w:rsid w:val="00985DCF"/>
    <w:rsid w:val="00A066D9"/>
    <w:rsid w:val="00A128AE"/>
    <w:rsid w:val="00A24E4C"/>
    <w:rsid w:val="00A57172"/>
    <w:rsid w:val="00A6242D"/>
    <w:rsid w:val="00AB1B73"/>
    <w:rsid w:val="00AD4ECD"/>
    <w:rsid w:val="00B06671"/>
    <w:rsid w:val="00B61BF1"/>
    <w:rsid w:val="00BE424D"/>
    <w:rsid w:val="00BF6D4C"/>
    <w:rsid w:val="00C12068"/>
    <w:rsid w:val="00C3239F"/>
    <w:rsid w:val="00C82230"/>
    <w:rsid w:val="00CC5371"/>
    <w:rsid w:val="00CF705C"/>
    <w:rsid w:val="00D13ECA"/>
    <w:rsid w:val="00D164D7"/>
    <w:rsid w:val="00D16D46"/>
    <w:rsid w:val="00D3661E"/>
    <w:rsid w:val="00D65E60"/>
    <w:rsid w:val="00D918B2"/>
    <w:rsid w:val="00DC54D5"/>
    <w:rsid w:val="00E25BB2"/>
    <w:rsid w:val="00E6657D"/>
    <w:rsid w:val="00E67325"/>
    <w:rsid w:val="00EB4203"/>
    <w:rsid w:val="00F14F0B"/>
    <w:rsid w:val="00F352EE"/>
    <w:rsid w:val="00F369DD"/>
    <w:rsid w:val="00F526FE"/>
    <w:rsid w:val="00F61FA8"/>
    <w:rsid w:val="00F71B17"/>
    <w:rsid w:val="00F75F37"/>
    <w:rsid w:val="00F84A71"/>
    <w:rsid w:val="00FA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4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73E4B"/>
    <w:pPr>
      <w:keepNext/>
      <w:keepLines/>
      <w:spacing w:before="480" w:line="276" w:lineRule="auto"/>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4B"/>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73E4B"/>
    <w:rPr>
      <w:color w:val="0000FF" w:themeColor="hyperlink"/>
      <w:u w:val="single"/>
    </w:rPr>
  </w:style>
  <w:style w:type="character" w:customStyle="1" w:styleId="Heading1Char">
    <w:name w:val="Heading 1 Char"/>
    <w:basedOn w:val="DefaultParagraphFont"/>
    <w:link w:val="Heading1"/>
    <w:uiPriority w:val="9"/>
    <w:rsid w:val="00673E4B"/>
    <w:rPr>
      <w:rFonts w:asciiTheme="majorHAnsi" w:eastAsiaTheme="majorEastAsia" w:hAnsiTheme="majorHAnsi" w:cstheme="majorBidi"/>
      <w:b/>
      <w:bCs/>
      <w:sz w:val="24"/>
      <w:szCs w:val="28"/>
    </w:rPr>
  </w:style>
  <w:style w:type="paragraph" w:styleId="Header">
    <w:name w:val="header"/>
    <w:basedOn w:val="Normal"/>
    <w:link w:val="HeaderChar"/>
    <w:uiPriority w:val="99"/>
    <w:semiHidden/>
    <w:unhideWhenUsed/>
    <w:rsid w:val="005861D0"/>
    <w:pPr>
      <w:tabs>
        <w:tab w:val="center" w:pos="4680"/>
        <w:tab w:val="right" w:pos="9360"/>
      </w:tabs>
    </w:pPr>
  </w:style>
  <w:style w:type="character" w:customStyle="1" w:styleId="HeaderChar">
    <w:name w:val="Header Char"/>
    <w:basedOn w:val="DefaultParagraphFont"/>
    <w:link w:val="Header"/>
    <w:uiPriority w:val="99"/>
    <w:semiHidden/>
    <w:rsid w:val="005861D0"/>
    <w:rPr>
      <w:rFonts w:ascii="Calibri" w:hAnsi="Calibri" w:cs="Times New Roman"/>
    </w:rPr>
  </w:style>
  <w:style w:type="paragraph" w:styleId="Footer">
    <w:name w:val="footer"/>
    <w:basedOn w:val="Normal"/>
    <w:link w:val="FooterChar"/>
    <w:uiPriority w:val="99"/>
    <w:semiHidden/>
    <w:unhideWhenUsed/>
    <w:rsid w:val="005861D0"/>
    <w:pPr>
      <w:tabs>
        <w:tab w:val="center" w:pos="4680"/>
        <w:tab w:val="right" w:pos="9360"/>
      </w:tabs>
    </w:pPr>
  </w:style>
  <w:style w:type="character" w:customStyle="1" w:styleId="FooterChar">
    <w:name w:val="Footer Char"/>
    <w:basedOn w:val="DefaultParagraphFont"/>
    <w:link w:val="Footer"/>
    <w:uiPriority w:val="99"/>
    <w:semiHidden/>
    <w:rsid w:val="005861D0"/>
    <w:rPr>
      <w:rFonts w:ascii="Calibri" w:hAnsi="Calibri" w:cs="Times New Roman"/>
    </w:rPr>
  </w:style>
  <w:style w:type="character" w:customStyle="1" w:styleId="apple-style-span">
    <w:name w:val="apple-style-span"/>
    <w:basedOn w:val="DefaultParagraphFont"/>
    <w:rsid w:val="00F14F0B"/>
    <w:rPr>
      <w:rFonts w:cs="Times New Roman"/>
    </w:rPr>
  </w:style>
  <w:style w:type="character" w:styleId="Strong">
    <w:name w:val="Strong"/>
    <w:basedOn w:val="DefaultParagraphFont"/>
    <w:uiPriority w:val="22"/>
    <w:qFormat/>
    <w:rsid w:val="000778AB"/>
    <w:rPr>
      <w:rFonts w:cs="Times New Roman"/>
      <w:b/>
      <w:bCs/>
    </w:rPr>
  </w:style>
  <w:style w:type="paragraph" w:styleId="BalloonText">
    <w:name w:val="Balloon Text"/>
    <w:basedOn w:val="Normal"/>
    <w:link w:val="BalloonTextChar"/>
    <w:uiPriority w:val="99"/>
    <w:semiHidden/>
    <w:unhideWhenUsed/>
    <w:rsid w:val="00916F00"/>
    <w:rPr>
      <w:rFonts w:ascii="Tahoma" w:hAnsi="Tahoma" w:cs="Tahoma"/>
      <w:sz w:val="16"/>
      <w:szCs w:val="16"/>
    </w:rPr>
  </w:style>
  <w:style w:type="character" w:customStyle="1" w:styleId="BalloonTextChar">
    <w:name w:val="Balloon Text Char"/>
    <w:basedOn w:val="DefaultParagraphFont"/>
    <w:link w:val="BalloonText"/>
    <w:uiPriority w:val="99"/>
    <w:semiHidden/>
    <w:rsid w:val="00916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8965">
      <w:bodyDiv w:val="1"/>
      <w:marLeft w:val="0"/>
      <w:marRight w:val="0"/>
      <w:marTop w:val="0"/>
      <w:marBottom w:val="0"/>
      <w:divBdr>
        <w:top w:val="none" w:sz="0" w:space="0" w:color="auto"/>
        <w:left w:val="none" w:sz="0" w:space="0" w:color="auto"/>
        <w:bottom w:val="none" w:sz="0" w:space="0" w:color="auto"/>
        <w:right w:val="none" w:sz="0" w:space="0" w:color="auto"/>
      </w:divBdr>
    </w:div>
    <w:div w:id="1015113244">
      <w:bodyDiv w:val="1"/>
      <w:marLeft w:val="0"/>
      <w:marRight w:val="0"/>
      <w:marTop w:val="0"/>
      <w:marBottom w:val="0"/>
      <w:divBdr>
        <w:top w:val="none" w:sz="0" w:space="0" w:color="auto"/>
        <w:left w:val="none" w:sz="0" w:space="0" w:color="auto"/>
        <w:bottom w:val="none" w:sz="0" w:space="0" w:color="auto"/>
        <w:right w:val="none" w:sz="0" w:space="0" w:color="auto"/>
      </w:divBdr>
    </w:div>
    <w:div w:id="1042634547">
      <w:bodyDiv w:val="1"/>
      <w:marLeft w:val="0"/>
      <w:marRight w:val="0"/>
      <w:marTop w:val="0"/>
      <w:marBottom w:val="0"/>
      <w:divBdr>
        <w:top w:val="none" w:sz="0" w:space="0" w:color="auto"/>
        <w:left w:val="none" w:sz="0" w:space="0" w:color="auto"/>
        <w:bottom w:val="none" w:sz="0" w:space="0" w:color="auto"/>
        <w:right w:val="none" w:sz="0" w:space="0" w:color="auto"/>
      </w:divBdr>
    </w:div>
    <w:div w:id="178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ingbridges4youth.org/produc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pirc.org/engagement_webinars/" TargetMode="External"/><Relationship Id="rId5" Type="http://schemas.openxmlformats.org/officeDocument/2006/relationships/webSettings" Target="webSettings.xml"/><Relationship Id="rId10" Type="http://schemas.openxmlformats.org/officeDocument/2006/relationships/hyperlink" Target="http://tapartnership.org/docs/Youth_Guide_to_Treatment.pdf" TargetMode="External"/><Relationship Id="rId4" Type="http://schemas.openxmlformats.org/officeDocument/2006/relationships/settings" Target="settings.xml"/><Relationship Id="rId9" Type="http://schemas.openxmlformats.org/officeDocument/2006/relationships/hyperlink" Target="http://tapartnership.org/docs/Youth%20Adult%20Partnerships%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mossoj</cp:lastModifiedBy>
  <cp:revision>15</cp:revision>
  <cp:lastPrinted>2012-04-25T19:40:00Z</cp:lastPrinted>
  <dcterms:created xsi:type="dcterms:W3CDTF">2012-05-10T19:04:00Z</dcterms:created>
  <dcterms:modified xsi:type="dcterms:W3CDTF">2012-05-16T19:53:00Z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